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9E9" w:rsidRPr="00414FBF" w:rsidRDefault="002169E9" w:rsidP="00732B53">
      <w:pPr>
        <w:spacing w:after="131" w:line="276" w:lineRule="auto"/>
        <w:jc w:val="right"/>
        <w:rPr>
          <w:rFonts w:asciiTheme="minorEastAsia" w:hAnsiTheme="minorEastAsia" w:cs="Times New Roman"/>
          <w:b/>
          <w:color w:val="000000" w:themeColor="text1"/>
          <w:spacing w:val="14"/>
          <w:sz w:val="22"/>
          <w:shd w:val="pct15" w:color="auto" w:fill="FFFFFF"/>
        </w:rPr>
      </w:pPr>
      <w:r w:rsidRPr="00414FBF">
        <w:rPr>
          <w:rFonts w:asciiTheme="minorEastAsia" w:hAnsiTheme="minorEastAsia" w:cs="Times New Roman" w:hint="eastAsia"/>
          <w:b/>
          <w:color w:val="000000" w:themeColor="text1"/>
          <w:spacing w:val="14"/>
          <w:sz w:val="22"/>
          <w:shd w:val="pct15" w:color="auto" w:fill="FFFFFF"/>
        </w:rPr>
        <w:t xml:space="preserve">新聞稿 </w:t>
      </w:r>
    </w:p>
    <w:p w:rsidR="002169E9" w:rsidRPr="00414FBF" w:rsidRDefault="002169E9" w:rsidP="00732B53">
      <w:pPr>
        <w:spacing w:after="131" w:line="276" w:lineRule="auto"/>
        <w:rPr>
          <w:rFonts w:asciiTheme="minorEastAsia" w:hAnsiTheme="minorEastAsia" w:cs="Times New Roman"/>
          <w:color w:val="000000" w:themeColor="text1"/>
          <w:spacing w:val="14"/>
          <w:sz w:val="22"/>
        </w:rPr>
      </w:pPr>
      <w:r w:rsidRPr="00414FBF">
        <w:rPr>
          <w:rFonts w:asciiTheme="minorEastAsia" w:hAnsiTheme="minorEastAsia" w:cs="Times New Roman" w:hint="eastAsia"/>
          <w:color w:val="000000" w:themeColor="text1"/>
          <w:spacing w:val="14"/>
          <w:sz w:val="22"/>
        </w:rPr>
        <w:t>2018年</w:t>
      </w:r>
      <w:r w:rsidR="00DA7BF1">
        <w:rPr>
          <w:rFonts w:asciiTheme="minorEastAsia" w:hAnsiTheme="minorEastAsia" w:cs="Times New Roman"/>
          <w:color w:val="000000" w:themeColor="text1"/>
          <w:spacing w:val="14"/>
          <w:sz w:val="22"/>
        </w:rPr>
        <w:t>10</w:t>
      </w:r>
      <w:r w:rsidRPr="00414FBF">
        <w:rPr>
          <w:rFonts w:asciiTheme="minorEastAsia" w:hAnsiTheme="minorEastAsia" w:cs="Times New Roman" w:hint="eastAsia"/>
          <w:color w:val="000000" w:themeColor="text1"/>
          <w:spacing w:val="14"/>
          <w:sz w:val="22"/>
        </w:rPr>
        <w:t>月</w:t>
      </w:r>
      <w:r w:rsidR="00DA7BF1">
        <w:rPr>
          <w:rFonts w:asciiTheme="minorEastAsia" w:hAnsiTheme="minorEastAsia" w:cs="Times New Roman"/>
          <w:color w:val="000000" w:themeColor="text1"/>
          <w:spacing w:val="14"/>
          <w:sz w:val="22"/>
        </w:rPr>
        <w:t>14</w:t>
      </w:r>
      <w:r w:rsidRPr="00414FBF">
        <w:rPr>
          <w:rFonts w:asciiTheme="minorEastAsia" w:hAnsiTheme="minorEastAsia" w:cs="Times New Roman" w:hint="eastAsia"/>
          <w:color w:val="000000" w:themeColor="text1"/>
          <w:spacing w:val="14"/>
          <w:sz w:val="22"/>
        </w:rPr>
        <w:t>日</w:t>
      </w:r>
    </w:p>
    <w:p w:rsidR="00842349" w:rsidRPr="00414FBF" w:rsidRDefault="00C912AE" w:rsidP="00842349">
      <w:pPr>
        <w:spacing w:after="240" w:line="276" w:lineRule="auto"/>
        <w:jc w:val="center"/>
        <w:rPr>
          <w:rFonts w:asciiTheme="minorEastAsia" w:hAnsiTheme="minorEastAsia" w:cs="Times New Roman"/>
          <w:b/>
          <w:color w:val="000000"/>
          <w:spacing w:val="14"/>
          <w:sz w:val="22"/>
          <w:lang w:eastAsia="zh-HK"/>
        </w:rPr>
      </w:pPr>
      <w:r>
        <w:rPr>
          <w:rFonts w:asciiTheme="minorEastAsia" w:hAnsiTheme="minorEastAsia" w:cs="Times New Roman" w:hint="eastAsia"/>
          <w:b/>
          <w:spacing w:val="14"/>
          <w:sz w:val="22"/>
          <w:lang w:eastAsia="zh-HK"/>
        </w:rPr>
        <w:t>檢</w:t>
      </w:r>
      <w:r>
        <w:rPr>
          <w:rFonts w:asciiTheme="minorEastAsia" w:hAnsiTheme="minorEastAsia" w:cs="Times New Roman" w:hint="eastAsia"/>
          <w:b/>
          <w:spacing w:val="14"/>
          <w:sz w:val="22"/>
        </w:rPr>
        <w:t>討</w:t>
      </w:r>
      <w:r w:rsidR="00431F1C">
        <w:rPr>
          <w:rFonts w:asciiTheme="minorEastAsia" w:hAnsiTheme="minorEastAsia" w:cs="Times New Roman" w:hint="eastAsia"/>
          <w:b/>
          <w:spacing w:val="14"/>
          <w:sz w:val="22"/>
          <w:lang w:eastAsia="zh-HK"/>
        </w:rPr>
        <w:t>私人遊樂場地政策</w:t>
      </w:r>
      <w:r w:rsidR="00DD5BBA" w:rsidRPr="00414FBF">
        <w:rPr>
          <w:rFonts w:asciiTheme="minorEastAsia" w:hAnsiTheme="minorEastAsia" w:cs="Times New Roman" w:hint="eastAsia"/>
          <w:b/>
          <w:spacing w:val="14"/>
          <w:sz w:val="22"/>
        </w:rPr>
        <w:t>：</w:t>
      </w:r>
      <w:r>
        <w:rPr>
          <w:rFonts w:asciiTheme="minorEastAsia" w:hAnsiTheme="minorEastAsia" w:cs="Times New Roman" w:hint="eastAsia"/>
          <w:b/>
          <w:spacing w:val="14"/>
          <w:sz w:val="22"/>
          <w:lang w:eastAsia="zh-HK"/>
        </w:rPr>
        <w:t>個案分析與土地供應</w:t>
      </w:r>
    </w:p>
    <w:p w:rsidR="00DA7BF1" w:rsidRDefault="00DA7BF1" w:rsidP="00DA7BF1">
      <w:pPr>
        <w:spacing w:afterLines="50" w:after="180"/>
        <w:rPr>
          <w:rFonts w:asciiTheme="minorEastAsia" w:hAnsiTheme="minorEastAsia"/>
          <w:sz w:val="22"/>
        </w:rPr>
      </w:pPr>
      <w:r w:rsidRPr="00DA7BF1">
        <w:rPr>
          <w:rFonts w:asciiTheme="minorEastAsia" w:hAnsiTheme="minorEastAsia" w:hint="eastAsia"/>
          <w:sz w:val="22"/>
        </w:rPr>
        <w:t>香港願景計劃今日（10月14日）舉行研究發佈會，對香港私人遊樂場地的現況和個案作出深入分析。</w:t>
      </w:r>
    </w:p>
    <w:p w:rsidR="00DA7BF1" w:rsidRPr="00DA7BF1" w:rsidRDefault="00DA7BF1" w:rsidP="00EF7437">
      <w:pPr>
        <w:spacing w:beforeLines="50" w:before="180"/>
        <w:jc w:val="both"/>
        <w:rPr>
          <w:rFonts w:asciiTheme="minorEastAsia" w:hAnsiTheme="minorEastAsia"/>
          <w:sz w:val="22"/>
          <w:lang w:eastAsia="zh-HK"/>
        </w:rPr>
      </w:pPr>
      <w:r w:rsidRPr="00DA7BF1">
        <w:rPr>
          <w:rFonts w:asciiTheme="minorEastAsia" w:hAnsiTheme="minorEastAsia" w:hint="eastAsia"/>
          <w:sz w:val="22"/>
        </w:rPr>
        <w:t>土地供應專責小組在2018年2月6日發表名為《增闢土地 你我抉擇》 的討論文件及民政事務局於2</w:t>
      </w:r>
      <w:r w:rsidRPr="00DA7BF1">
        <w:rPr>
          <w:rFonts w:asciiTheme="minorEastAsia" w:hAnsiTheme="minorEastAsia"/>
          <w:sz w:val="22"/>
        </w:rPr>
        <w:t>018</w:t>
      </w:r>
      <w:r w:rsidRPr="00DA7BF1">
        <w:rPr>
          <w:rFonts w:asciiTheme="minorEastAsia" w:hAnsiTheme="minorEastAsia" w:hint="eastAsia"/>
          <w:sz w:val="22"/>
        </w:rPr>
        <w:t>年3月2</w:t>
      </w:r>
      <w:r w:rsidRPr="00DA7BF1">
        <w:rPr>
          <w:rFonts w:asciiTheme="minorEastAsia" w:hAnsiTheme="minorEastAsia"/>
          <w:sz w:val="22"/>
        </w:rPr>
        <w:t>0</w:t>
      </w:r>
      <w:r w:rsidRPr="00DA7BF1">
        <w:rPr>
          <w:rFonts w:asciiTheme="minorEastAsia" w:hAnsiTheme="minorEastAsia" w:hint="eastAsia"/>
          <w:sz w:val="22"/>
        </w:rPr>
        <w:t>日發表的《私人遊樂場地契約政策檢討》諮詢文件都有提及香港私人遊樂場地契約的問題。</w:t>
      </w:r>
      <w:r w:rsidRPr="00DA7BF1">
        <w:rPr>
          <w:rFonts w:asciiTheme="minorEastAsia" w:hAnsiTheme="minorEastAsia" w:hint="eastAsia"/>
          <w:sz w:val="22"/>
          <w:lang w:eastAsia="zh-HK"/>
        </w:rPr>
        <w:t>私人遊樂場地契約政策於</w:t>
      </w:r>
      <w:r w:rsidRPr="00DA7BF1">
        <w:rPr>
          <w:rFonts w:asciiTheme="minorEastAsia" w:hAnsiTheme="minorEastAsia"/>
          <w:sz w:val="22"/>
        </w:rPr>
        <w:t>1969</w:t>
      </w:r>
      <w:r w:rsidRPr="00DA7BF1">
        <w:rPr>
          <w:rFonts w:asciiTheme="minorEastAsia" w:hAnsiTheme="minorEastAsia" w:hint="eastAsia"/>
          <w:sz w:val="22"/>
          <w:lang w:eastAsia="zh-HK"/>
        </w:rPr>
        <w:t>年首次提出</w:t>
      </w:r>
      <w:r w:rsidRPr="00DA7BF1">
        <w:rPr>
          <w:rFonts w:asciiTheme="minorEastAsia" w:hAnsiTheme="minorEastAsia" w:hint="eastAsia"/>
          <w:sz w:val="22"/>
        </w:rPr>
        <w:t>，</w:t>
      </w:r>
      <w:r w:rsidRPr="00DA7BF1">
        <w:rPr>
          <w:rFonts w:asciiTheme="minorEastAsia" w:hAnsiTheme="minorEastAsia"/>
          <w:sz w:val="22"/>
        </w:rPr>
        <w:t>當時</w:t>
      </w:r>
      <w:r w:rsidRPr="00DA7BF1">
        <w:rPr>
          <w:rFonts w:asciiTheme="minorEastAsia" w:hAnsiTheme="minorEastAsia" w:hint="eastAsia"/>
          <w:sz w:val="22"/>
        </w:rPr>
        <w:t>推行此</w:t>
      </w:r>
      <w:r w:rsidRPr="00DA7BF1">
        <w:rPr>
          <w:rFonts w:asciiTheme="minorEastAsia" w:hAnsiTheme="minorEastAsia" w:hint="eastAsia"/>
          <w:sz w:val="22"/>
          <w:lang w:eastAsia="zh-HK"/>
        </w:rPr>
        <w:t>政策</w:t>
      </w:r>
      <w:r w:rsidRPr="00DA7BF1">
        <w:rPr>
          <w:rFonts w:asciiTheme="minorEastAsia" w:hAnsiTheme="minorEastAsia"/>
          <w:sz w:val="22"/>
        </w:rPr>
        <w:t>的</w:t>
      </w:r>
      <w:r w:rsidRPr="00DA7BF1">
        <w:rPr>
          <w:rFonts w:asciiTheme="minorEastAsia" w:hAnsiTheme="minorEastAsia" w:hint="eastAsia"/>
          <w:sz w:val="22"/>
          <w:lang w:eastAsia="zh-HK"/>
        </w:rPr>
        <w:t>目的是</w:t>
      </w:r>
      <w:r w:rsidRPr="00DA7BF1">
        <w:rPr>
          <w:rFonts w:asciiTheme="minorEastAsia" w:hAnsiTheme="minorEastAsia" w:hint="eastAsia"/>
          <w:sz w:val="22"/>
        </w:rPr>
        <w:t>提供政府較少提供的體育設施和</w:t>
      </w:r>
      <w:r w:rsidRPr="00DA7BF1">
        <w:rPr>
          <w:rFonts w:asciiTheme="minorEastAsia" w:hAnsiTheme="minorEastAsia" w:hint="eastAsia"/>
          <w:sz w:val="22"/>
          <w:lang w:eastAsia="zh-HK"/>
        </w:rPr>
        <w:t>推動本港體育發展</w:t>
      </w:r>
      <w:r w:rsidRPr="00DA7BF1">
        <w:rPr>
          <w:rFonts w:asciiTheme="minorEastAsia" w:hAnsiTheme="minorEastAsia" w:hint="eastAsia"/>
          <w:sz w:val="22"/>
        </w:rPr>
        <w:t>。過去由於香港的康樂及體育設施不足，政府以免收租金或只收取象徵式租金的方式，批出私人遊樂場地契約予一些有志推動體育發展及提供康樂設施的私人團體和非牟利團體，讓他們在契約土地上設立及營運體育及康樂活動 。然而部分獲批地的體育會所對外開放程度非常有限，有些更違反批地條件，進行餐飲、 美容等商業活動</w:t>
      </w:r>
      <w:r w:rsidRPr="00DA7BF1">
        <w:rPr>
          <w:rFonts w:asciiTheme="minorEastAsia" w:hAnsiTheme="minorEastAsia"/>
          <w:sz w:val="22"/>
        </w:rPr>
        <w:t>。</w:t>
      </w:r>
      <w:r w:rsidRPr="00DA7BF1">
        <w:rPr>
          <w:rFonts w:asciiTheme="minorEastAsia" w:hAnsiTheme="minorEastAsia" w:hint="eastAsia"/>
          <w:sz w:val="22"/>
        </w:rPr>
        <w:t xml:space="preserve"> 報告選擇了四個私人體育會所為分析對象，</w:t>
      </w:r>
      <w:r w:rsidRPr="00DA7BF1">
        <w:rPr>
          <w:rFonts w:asciiTheme="minorEastAsia" w:hAnsiTheme="minorEastAsia"/>
          <w:sz w:val="22"/>
        </w:rPr>
        <w:t>展</w:t>
      </w:r>
      <w:r w:rsidRPr="00DA7BF1">
        <w:rPr>
          <w:rFonts w:asciiTheme="minorEastAsia" w:hAnsiTheme="minorEastAsia" w:hint="eastAsia"/>
          <w:sz w:val="22"/>
        </w:rPr>
        <w:t>示現</w:t>
      </w:r>
      <w:r w:rsidRPr="00DA7BF1">
        <w:rPr>
          <w:rFonts w:asciiTheme="minorEastAsia" w:hAnsiTheme="minorEastAsia"/>
          <w:sz w:val="22"/>
        </w:rPr>
        <w:t>行《私人遊樂</w:t>
      </w:r>
      <w:r w:rsidRPr="00DA7BF1">
        <w:rPr>
          <w:rFonts w:asciiTheme="minorEastAsia" w:hAnsiTheme="minorEastAsia" w:hint="eastAsia"/>
          <w:sz w:val="22"/>
        </w:rPr>
        <w:t>場</w:t>
      </w:r>
      <w:r w:rsidRPr="00DA7BF1">
        <w:rPr>
          <w:rFonts w:asciiTheme="minorEastAsia" w:hAnsiTheme="minorEastAsia"/>
          <w:sz w:val="22"/>
        </w:rPr>
        <w:t>地契</w:t>
      </w:r>
      <w:r w:rsidRPr="00DA7BF1">
        <w:rPr>
          <w:rFonts w:asciiTheme="minorEastAsia" w:hAnsiTheme="minorEastAsia" w:hint="eastAsia"/>
          <w:sz w:val="22"/>
        </w:rPr>
        <w:t>約</w:t>
      </w:r>
      <w:r w:rsidRPr="00DA7BF1">
        <w:rPr>
          <w:rFonts w:asciiTheme="minorEastAsia" w:hAnsiTheme="minorEastAsia"/>
          <w:sz w:val="22"/>
        </w:rPr>
        <w:t>》</w:t>
      </w:r>
      <w:r w:rsidRPr="00DA7BF1">
        <w:rPr>
          <w:rFonts w:asciiTheme="minorEastAsia" w:hAnsiTheme="minorEastAsia" w:hint="eastAsia"/>
          <w:sz w:val="22"/>
        </w:rPr>
        <w:t>政</w:t>
      </w:r>
      <w:r w:rsidRPr="00DA7BF1">
        <w:rPr>
          <w:rFonts w:asciiTheme="minorEastAsia" w:hAnsiTheme="minorEastAsia"/>
          <w:sz w:val="22"/>
        </w:rPr>
        <w:t>策</w:t>
      </w:r>
      <w:r w:rsidRPr="00DA7BF1">
        <w:rPr>
          <w:rFonts w:asciiTheme="minorEastAsia" w:hAnsiTheme="minorEastAsia"/>
          <w:sz w:val="22"/>
          <w:lang w:eastAsia="zh-HK"/>
        </w:rPr>
        <w:t>有待改善之</w:t>
      </w:r>
      <w:r w:rsidRPr="00DA7BF1">
        <w:rPr>
          <w:rFonts w:asciiTheme="minorEastAsia" w:hAnsiTheme="minorEastAsia" w:hint="eastAsia"/>
          <w:sz w:val="22"/>
          <w:lang w:eastAsia="zh-HK"/>
        </w:rPr>
        <w:t>處，並參考了一個非</w:t>
      </w:r>
      <w:r w:rsidRPr="00DA7BF1">
        <w:rPr>
          <w:rFonts w:asciiTheme="minorEastAsia" w:hAnsiTheme="minorEastAsia" w:hint="eastAsia"/>
          <w:sz w:val="22"/>
        </w:rPr>
        <w:t>牟利</w:t>
      </w:r>
      <w:r w:rsidRPr="00DA7BF1">
        <w:rPr>
          <w:rFonts w:asciiTheme="minorEastAsia" w:hAnsiTheme="minorEastAsia" w:hint="eastAsia"/>
          <w:sz w:val="22"/>
          <w:lang w:eastAsia="zh-HK"/>
        </w:rPr>
        <w:t>組</w:t>
      </w:r>
      <w:r w:rsidRPr="00DA7BF1">
        <w:rPr>
          <w:rFonts w:asciiTheme="minorEastAsia" w:hAnsiTheme="minorEastAsia"/>
          <w:sz w:val="22"/>
          <w:lang w:eastAsia="zh-HK"/>
        </w:rPr>
        <w:t>織</w:t>
      </w:r>
      <w:r w:rsidRPr="00DA7BF1">
        <w:rPr>
          <w:rFonts w:asciiTheme="minorEastAsia" w:hAnsiTheme="minorEastAsia" w:hint="eastAsia"/>
          <w:sz w:val="22"/>
          <w:lang w:eastAsia="zh-HK"/>
        </w:rPr>
        <w:t>，</w:t>
      </w:r>
      <w:r w:rsidRPr="00DA7BF1">
        <w:rPr>
          <w:rFonts w:asciiTheme="minorEastAsia" w:hAnsiTheme="minorEastAsia"/>
          <w:sz w:val="22"/>
          <w:lang w:eastAsia="zh-HK"/>
        </w:rPr>
        <w:t>以對比私人體育</w:t>
      </w:r>
      <w:r w:rsidRPr="00DA7BF1">
        <w:rPr>
          <w:rFonts w:asciiTheme="minorEastAsia" w:hAnsiTheme="minorEastAsia" w:hint="eastAsia"/>
          <w:sz w:val="22"/>
          <w:lang w:eastAsia="zh-HK"/>
        </w:rPr>
        <w:t>會</w:t>
      </w:r>
      <w:r w:rsidRPr="00DA7BF1">
        <w:rPr>
          <w:rFonts w:asciiTheme="minorEastAsia" w:hAnsiTheme="minorEastAsia"/>
          <w:sz w:val="22"/>
          <w:lang w:eastAsia="zh-HK"/>
        </w:rPr>
        <w:t>所的運作情</w:t>
      </w:r>
      <w:r w:rsidRPr="00DA7BF1">
        <w:rPr>
          <w:rFonts w:asciiTheme="minorEastAsia" w:hAnsiTheme="minorEastAsia" w:hint="eastAsia"/>
          <w:sz w:val="22"/>
          <w:lang w:eastAsia="zh-HK"/>
        </w:rPr>
        <w:t>況，</w:t>
      </w:r>
      <w:r w:rsidRPr="00DA7BF1">
        <w:rPr>
          <w:rFonts w:asciiTheme="minorEastAsia" w:hAnsiTheme="minorEastAsia" w:hint="eastAsia"/>
          <w:sz w:val="22"/>
        </w:rPr>
        <w:t>從而</w:t>
      </w:r>
      <w:r w:rsidRPr="00DA7BF1">
        <w:rPr>
          <w:rFonts w:asciiTheme="minorEastAsia" w:hAnsiTheme="minorEastAsia"/>
          <w:sz w:val="22"/>
          <w:lang w:eastAsia="zh-HK"/>
        </w:rPr>
        <w:t>回應</w:t>
      </w:r>
      <w:r w:rsidRPr="00DA7BF1">
        <w:rPr>
          <w:rFonts w:asciiTheme="minorEastAsia" w:hAnsiTheme="minorEastAsia" w:hint="eastAsia"/>
          <w:sz w:val="22"/>
          <w:lang w:eastAsia="zh-HK"/>
        </w:rPr>
        <w:t>政府諮詢文件，並提出有效及可行的建議</w:t>
      </w:r>
      <w:r w:rsidRPr="00DA7BF1">
        <w:rPr>
          <w:rFonts w:asciiTheme="minorEastAsia" w:hAnsiTheme="minorEastAsia"/>
          <w:sz w:val="22"/>
          <w:lang w:eastAsia="zh-HK"/>
        </w:rPr>
        <w:t>。</w:t>
      </w:r>
    </w:p>
    <w:p w:rsidR="002169E9" w:rsidRPr="00DA7BF1" w:rsidRDefault="00DA7BF1" w:rsidP="00DA7BF1">
      <w:pPr>
        <w:spacing w:beforeLines="50" w:before="180"/>
        <w:rPr>
          <w:rFonts w:asciiTheme="minorEastAsia" w:hAnsiTheme="minorEastAsia"/>
          <w:sz w:val="22"/>
        </w:rPr>
      </w:pPr>
      <w:r w:rsidRPr="00DA7BF1">
        <w:rPr>
          <w:rFonts w:asciiTheme="minorEastAsia" w:hAnsiTheme="minorEastAsia" w:hint="eastAsia"/>
          <w:sz w:val="22"/>
        </w:rPr>
        <w:t>本報告針對民政事務局的諮詢文件中的建議，我們認為：</w:t>
      </w:r>
    </w:p>
    <w:p w:rsidR="00A462E2" w:rsidRPr="00DA7BF1" w:rsidRDefault="005F3979" w:rsidP="00EF7437">
      <w:pPr>
        <w:spacing w:before="50"/>
        <w:ind w:leftChars="-16" w:left="995" w:hangingChars="416" w:hanging="1033"/>
        <w:jc w:val="both"/>
        <w:rPr>
          <w:rFonts w:ascii="Times New Roman" w:hAnsi="Times New Roman" w:cs="Times New Roman"/>
          <w:spacing w:val="14"/>
          <w:sz w:val="22"/>
        </w:rPr>
      </w:pPr>
      <w:proofErr w:type="gramStart"/>
      <w:r w:rsidRPr="00DA7BF1">
        <w:rPr>
          <w:rFonts w:ascii="Times New Roman" w:hAnsi="Times New Roman" w:cs="Times New Roman" w:hint="eastAsia"/>
          <w:b/>
          <w:spacing w:val="14"/>
          <w:sz w:val="22"/>
        </w:rPr>
        <w:t>一</w:t>
      </w:r>
      <w:proofErr w:type="gramEnd"/>
      <w:r w:rsidRPr="00DA7BF1">
        <w:rPr>
          <w:rFonts w:ascii="Times New Roman" w:hAnsi="Times New Roman" w:cs="Times New Roman" w:hint="eastAsia"/>
          <w:b/>
          <w:spacing w:val="14"/>
          <w:sz w:val="22"/>
        </w:rPr>
        <w:t>：</w:t>
      </w:r>
      <w:r w:rsidR="00DA7BF1">
        <w:rPr>
          <w:rFonts w:ascii="Times New Roman" w:hAnsi="Times New Roman" w:cs="Times New Roman"/>
          <w:b/>
          <w:spacing w:val="14"/>
          <w:sz w:val="22"/>
        </w:rPr>
        <w:tab/>
      </w:r>
      <w:r w:rsidR="00DA7BF1" w:rsidRPr="00DA7BF1">
        <w:rPr>
          <w:rFonts w:asciiTheme="minorEastAsia" w:hAnsiTheme="minorEastAsia"/>
          <w:b/>
          <w:sz w:val="22"/>
        </w:rPr>
        <w:t>應</w:t>
      </w:r>
      <w:r w:rsidR="00DA7BF1" w:rsidRPr="00DA7BF1">
        <w:rPr>
          <w:rFonts w:asciiTheme="minorEastAsia" w:hAnsiTheme="minorEastAsia" w:hint="eastAsia"/>
          <w:b/>
          <w:sz w:val="22"/>
        </w:rPr>
        <w:t>視</w:t>
      </w:r>
      <w:r w:rsidR="00DA7BF1" w:rsidRPr="00DA7BF1">
        <w:rPr>
          <w:rFonts w:asciiTheme="minorEastAsia" w:hAnsiTheme="minorEastAsia"/>
          <w:b/>
          <w:sz w:val="22"/>
        </w:rPr>
        <w:t>乎實</w:t>
      </w:r>
      <w:r w:rsidR="00DA7BF1" w:rsidRPr="00DA7BF1">
        <w:rPr>
          <w:rFonts w:asciiTheme="minorEastAsia" w:hAnsiTheme="minorEastAsia" w:hint="eastAsia"/>
          <w:b/>
          <w:sz w:val="22"/>
        </w:rPr>
        <w:t>際</w:t>
      </w:r>
      <w:r w:rsidR="00DA7BF1" w:rsidRPr="00DA7BF1">
        <w:rPr>
          <w:rFonts w:asciiTheme="minorEastAsia" w:hAnsiTheme="minorEastAsia"/>
          <w:b/>
          <w:sz w:val="22"/>
        </w:rPr>
        <w:t>情</w:t>
      </w:r>
      <w:r w:rsidR="00DA7BF1" w:rsidRPr="00DA7BF1">
        <w:rPr>
          <w:rFonts w:asciiTheme="minorEastAsia" w:hAnsiTheme="minorEastAsia" w:hint="eastAsia"/>
          <w:b/>
          <w:sz w:val="22"/>
        </w:rPr>
        <w:t>況決</w:t>
      </w:r>
      <w:r w:rsidR="00DA7BF1" w:rsidRPr="00DA7BF1">
        <w:rPr>
          <w:rFonts w:asciiTheme="minorEastAsia" w:hAnsiTheme="minorEastAsia"/>
          <w:b/>
          <w:sz w:val="22"/>
        </w:rPr>
        <w:t>定</w:t>
      </w:r>
      <w:r w:rsidR="00DA7BF1" w:rsidRPr="00DA7BF1">
        <w:rPr>
          <w:rFonts w:asciiTheme="minorEastAsia" w:hAnsiTheme="minorEastAsia" w:hint="eastAsia"/>
          <w:b/>
          <w:sz w:val="22"/>
        </w:rPr>
        <w:t>是</w:t>
      </w:r>
      <w:r w:rsidR="00DA7BF1" w:rsidRPr="00DA7BF1">
        <w:rPr>
          <w:rFonts w:asciiTheme="minorEastAsia" w:hAnsiTheme="minorEastAsia"/>
          <w:b/>
          <w:sz w:val="22"/>
        </w:rPr>
        <w:t>否繼續</w:t>
      </w:r>
      <w:r w:rsidR="00DA7BF1" w:rsidRPr="00DA7BF1">
        <w:rPr>
          <w:rFonts w:asciiTheme="minorEastAsia" w:hAnsiTheme="minorEastAsia" w:hint="eastAsia"/>
          <w:b/>
          <w:sz w:val="22"/>
        </w:rPr>
        <w:t>沿</w:t>
      </w:r>
      <w:r w:rsidR="00DA7BF1" w:rsidRPr="00DA7BF1">
        <w:rPr>
          <w:rFonts w:asciiTheme="minorEastAsia" w:hAnsiTheme="minorEastAsia"/>
          <w:b/>
          <w:sz w:val="22"/>
        </w:rPr>
        <w:t>用私人</w:t>
      </w:r>
      <w:r w:rsidR="00DA7BF1" w:rsidRPr="00DA7BF1">
        <w:rPr>
          <w:rFonts w:asciiTheme="minorEastAsia" w:hAnsiTheme="minorEastAsia" w:hint="eastAsia"/>
          <w:b/>
          <w:sz w:val="22"/>
        </w:rPr>
        <w:t>遊</w:t>
      </w:r>
      <w:r w:rsidR="00DA7BF1" w:rsidRPr="00DA7BF1">
        <w:rPr>
          <w:rFonts w:asciiTheme="minorEastAsia" w:hAnsiTheme="minorEastAsia"/>
          <w:b/>
          <w:sz w:val="22"/>
        </w:rPr>
        <w:t>樂場</w:t>
      </w:r>
      <w:r w:rsidR="00DA7BF1" w:rsidRPr="00DA7BF1">
        <w:rPr>
          <w:rFonts w:asciiTheme="minorEastAsia" w:hAnsiTheme="minorEastAsia" w:hint="eastAsia"/>
          <w:b/>
          <w:sz w:val="22"/>
        </w:rPr>
        <w:t>地</w:t>
      </w:r>
      <w:r w:rsidR="00DA7BF1" w:rsidRPr="00DA7BF1">
        <w:rPr>
          <w:rFonts w:asciiTheme="minorEastAsia" w:hAnsiTheme="minorEastAsia"/>
          <w:b/>
          <w:sz w:val="22"/>
        </w:rPr>
        <w:t>契約處理</w:t>
      </w:r>
      <w:r w:rsidR="00DA7BF1" w:rsidRPr="00DA7BF1">
        <w:rPr>
          <w:rFonts w:asciiTheme="minorEastAsia" w:hAnsiTheme="minorEastAsia" w:hint="eastAsia"/>
          <w:b/>
          <w:sz w:val="22"/>
        </w:rPr>
        <w:t>私人體</w:t>
      </w:r>
      <w:r w:rsidR="00DA7BF1" w:rsidRPr="00DA7BF1">
        <w:rPr>
          <w:rFonts w:asciiTheme="minorEastAsia" w:hAnsiTheme="minorEastAsia"/>
          <w:b/>
          <w:sz w:val="22"/>
        </w:rPr>
        <w:t>育</w:t>
      </w:r>
      <w:r w:rsidR="00DA7BF1" w:rsidRPr="00DA7BF1">
        <w:rPr>
          <w:rFonts w:asciiTheme="minorEastAsia" w:hAnsiTheme="minorEastAsia" w:hint="eastAsia"/>
          <w:b/>
          <w:sz w:val="22"/>
        </w:rPr>
        <w:t>會</w:t>
      </w:r>
      <w:r w:rsidR="00DA7BF1" w:rsidRPr="00DA7BF1">
        <w:rPr>
          <w:rFonts w:asciiTheme="minorEastAsia" w:hAnsiTheme="minorEastAsia"/>
          <w:b/>
          <w:sz w:val="22"/>
        </w:rPr>
        <w:t>所</w:t>
      </w:r>
      <w:r w:rsidR="00DA7BF1" w:rsidRPr="00DA7BF1">
        <w:rPr>
          <w:rFonts w:asciiTheme="minorEastAsia" w:hAnsiTheme="minorEastAsia" w:hint="eastAsia"/>
          <w:b/>
          <w:sz w:val="22"/>
        </w:rPr>
        <w:t>土</w:t>
      </w:r>
      <w:r w:rsidR="00DA7BF1" w:rsidRPr="00DA7BF1">
        <w:rPr>
          <w:rFonts w:asciiTheme="minorEastAsia" w:hAnsiTheme="minorEastAsia"/>
          <w:b/>
          <w:sz w:val="22"/>
        </w:rPr>
        <w:t>地</w:t>
      </w:r>
      <w:proofErr w:type="gramStart"/>
      <w:r w:rsidR="00A462E2" w:rsidRPr="00DA7BF1">
        <w:rPr>
          <w:rFonts w:ascii="Times New Roman" w:hAnsi="Times New Roman" w:cs="Times New Roman" w:hint="eastAsia"/>
          <w:spacing w:val="14"/>
          <w:sz w:val="22"/>
        </w:rPr>
        <w:t>──</w:t>
      </w:r>
      <w:proofErr w:type="gramEnd"/>
      <w:r w:rsidR="00DA7BF1" w:rsidRPr="00DA7BF1">
        <w:rPr>
          <w:rFonts w:asciiTheme="minorEastAsia" w:hAnsiTheme="minorEastAsia" w:hint="eastAsia"/>
          <w:sz w:val="22"/>
        </w:rPr>
        <w:t>例如政府應結合土地供應政策作通盤考慮，或以其他更具彈性的土地契約條款去處理，甚至大幅修改個別契約條款以更切合政策原意。</w:t>
      </w:r>
    </w:p>
    <w:p w:rsidR="00A462E2" w:rsidRPr="00DA7BF1" w:rsidRDefault="005F3979" w:rsidP="00EF7437">
      <w:pPr>
        <w:spacing w:before="50"/>
        <w:ind w:leftChars="-16" w:left="992" w:hangingChars="415" w:hanging="1030"/>
        <w:jc w:val="both"/>
        <w:rPr>
          <w:rFonts w:asciiTheme="minorEastAsia" w:hAnsiTheme="minorEastAsia" w:cs="Times New Roman"/>
          <w:spacing w:val="14"/>
          <w:sz w:val="22"/>
        </w:rPr>
      </w:pPr>
      <w:r w:rsidRPr="00DA7BF1">
        <w:rPr>
          <w:rFonts w:asciiTheme="minorEastAsia" w:hAnsiTheme="minorEastAsia" w:cs="Times New Roman" w:hint="eastAsia"/>
          <w:b/>
          <w:spacing w:val="14"/>
          <w:sz w:val="22"/>
        </w:rPr>
        <w:t>二：</w:t>
      </w:r>
      <w:r w:rsidR="00DA7BF1">
        <w:rPr>
          <w:rFonts w:asciiTheme="minorEastAsia" w:hAnsiTheme="minorEastAsia" w:cs="Times New Roman"/>
          <w:b/>
          <w:spacing w:val="14"/>
          <w:sz w:val="22"/>
        </w:rPr>
        <w:tab/>
      </w:r>
      <w:r w:rsidR="00DA7BF1" w:rsidRPr="00DA7BF1">
        <w:rPr>
          <w:rFonts w:asciiTheme="minorEastAsia" w:hAnsiTheme="minorEastAsia" w:hint="eastAsia"/>
          <w:b/>
          <w:sz w:val="22"/>
        </w:rPr>
        <w:t>是否為契約用地續約同樣應視乎實際情況</w:t>
      </w:r>
      <w:proofErr w:type="gramStart"/>
      <w:r w:rsidR="00A462E2" w:rsidRPr="00DA7BF1">
        <w:rPr>
          <w:rFonts w:asciiTheme="minorEastAsia" w:hAnsiTheme="minorEastAsia" w:cs="Times New Roman" w:hint="eastAsia"/>
          <w:spacing w:val="14"/>
          <w:sz w:val="22"/>
        </w:rPr>
        <w:t>──</w:t>
      </w:r>
      <w:proofErr w:type="gramEnd"/>
      <w:r w:rsidR="00DA7BF1" w:rsidRPr="00DA7BF1">
        <w:rPr>
          <w:rFonts w:asciiTheme="minorEastAsia" w:hAnsiTheme="minorEastAsia" w:hint="eastAsia"/>
          <w:sz w:val="22"/>
        </w:rPr>
        <w:t>我們認為除體育貢獻外，政府應該以社會整體利益為原則，評估是否為契約用地續期，考慮土地因素及其他社會需求，以平衡體育發展和善用土地的需要。</w:t>
      </w:r>
    </w:p>
    <w:p w:rsidR="00A462E2" w:rsidRPr="00DA7BF1" w:rsidRDefault="005F3979" w:rsidP="00EF7437">
      <w:pPr>
        <w:spacing w:before="50"/>
        <w:ind w:left="1033" w:hangingChars="416" w:hanging="1033"/>
        <w:jc w:val="both"/>
        <w:rPr>
          <w:spacing w:val="14"/>
          <w:sz w:val="22"/>
          <w:u w:color="538135"/>
          <w:lang w:val="zh-TW"/>
        </w:rPr>
      </w:pPr>
      <w:proofErr w:type="gramStart"/>
      <w:r w:rsidRPr="00DA7BF1">
        <w:rPr>
          <w:b/>
          <w:spacing w:val="14"/>
          <w:sz w:val="22"/>
          <w:u w:color="538135"/>
          <w:lang w:val="zh-TW"/>
        </w:rPr>
        <w:t>三</w:t>
      </w:r>
      <w:proofErr w:type="gramEnd"/>
      <w:r w:rsidRPr="00DA7BF1">
        <w:rPr>
          <w:b/>
          <w:spacing w:val="14"/>
          <w:sz w:val="22"/>
          <w:u w:color="538135"/>
          <w:lang w:val="zh-TW"/>
        </w:rPr>
        <w:t>：</w:t>
      </w:r>
      <w:r w:rsidR="00DA7BF1">
        <w:rPr>
          <w:b/>
          <w:spacing w:val="14"/>
          <w:sz w:val="22"/>
          <w:u w:color="538135"/>
          <w:lang w:val="zh-TW"/>
        </w:rPr>
        <w:tab/>
      </w:r>
      <w:r w:rsidR="00DA7BF1" w:rsidRPr="00DA7BF1">
        <w:rPr>
          <w:rFonts w:asciiTheme="minorEastAsia" w:hAnsiTheme="minorEastAsia" w:hint="eastAsia"/>
          <w:b/>
          <w:sz w:val="22"/>
        </w:rPr>
        <w:t>應大幅增加開放體育及康樂設施予公眾使用</w:t>
      </w:r>
      <w:proofErr w:type="gramStart"/>
      <w:r w:rsidR="00A462E2" w:rsidRPr="00DA7BF1">
        <w:rPr>
          <w:rFonts w:hint="eastAsia"/>
          <w:spacing w:val="14"/>
          <w:sz w:val="22"/>
          <w:u w:color="538135"/>
          <w:lang w:val="zh-TW"/>
        </w:rPr>
        <w:t>──</w:t>
      </w:r>
      <w:proofErr w:type="gramEnd"/>
      <w:r w:rsidR="00DA7BF1" w:rsidRPr="00DA7BF1">
        <w:rPr>
          <w:rFonts w:asciiTheme="minorEastAsia" w:hAnsiTheme="minorEastAsia" w:hint="eastAsia"/>
          <w:sz w:val="22"/>
        </w:rPr>
        <w:t>私人體育會所應盡量簡化申請入會程序及降低設施使用費用至大眾可負擔水平，及由只開放給規定受益團體擴大至所有香港居民，以符合私人遊樂場地契約政策原意。</w:t>
      </w:r>
    </w:p>
    <w:p w:rsidR="005F3979" w:rsidRPr="00DA7BF1" w:rsidRDefault="005F3979" w:rsidP="00431F1C">
      <w:pPr>
        <w:spacing w:beforeLines="50" w:before="180"/>
        <w:ind w:left="1033" w:hangingChars="416" w:hanging="1033"/>
        <w:jc w:val="both"/>
        <w:rPr>
          <w:rFonts w:asciiTheme="minorEastAsia" w:hAnsiTheme="minorEastAsia"/>
          <w:sz w:val="22"/>
        </w:rPr>
      </w:pPr>
      <w:r w:rsidRPr="00DA7BF1">
        <w:rPr>
          <w:b/>
          <w:spacing w:val="14"/>
          <w:sz w:val="22"/>
          <w:u w:color="538135"/>
          <w:lang w:val="zh-TW"/>
        </w:rPr>
        <w:t>四：</w:t>
      </w:r>
      <w:r w:rsidR="00DA7BF1">
        <w:rPr>
          <w:b/>
          <w:spacing w:val="14"/>
          <w:sz w:val="22"/>
          <w:u w:color="538135"/>
          <w:lang w:val="zh-TW"/>
        </w:rPr>
        <w:tab/>
      </w:r>
      <w:r w:rsidR="00DA7BF1" w:rsidRPr="00DA7BF1">
        <w:rPr>
          <w:rFonts w:asciiTheme="minorEastAsia" w:hAnsiTheme="minorEastAsia" w:hint="eastAsia"/>
          <w:b/>
          <w:sz w:val="22"/>
        </w:rPr>
        <w:t>長遠而言，在公平原則下，私人體育會所應繳交十足市值租金</w:t>
      </w:r>
      <w:proofErr w:type="gramStart"/>
      <w:r w:rsidR="00A462E2" w:rsidRPr="00DA7BF1">
        <w:rPr>
          <w:rFonts w:hint="eastAsia"/>
          <w:spacing w:val="14"/>
          <w:sz w:val="22"/>
          <w:u w:color="538135"/>
          <w:lang w:val="zh-TW"/>
        </w:rPr>
        <w:t>──</w:t>
      </w:r>
      <w:proofErr w:type="gramEnd"/>
      <w:r w:rsidR="00DA7BF1" w:rsidRPr="00DA7BF1">
        <w:rPr>
          <w:rFonts w:asciiTheme="minorEastAsia" w:hAnsiTheme="minorEastAsia" w:hint="eastAsia"/>
          <w:sz w:val="22"/>
        </w:rPr>
        <w:t>政府在諮詢文件中建議收取三分之一市值地價，可作為過渡安排，以便各會所在過渡期間尋求合適財務安排。政府應在適當時候考慮收取十足市值租金。</w:t>
      </w:r>
    </w:p>
    <w:p w:rsidR="00431F1C" w:rsidRDefault="00DA7BF1" w:rsidP="00431F1C">
      <w:pPr>
        <w:spacing w:beforeLines="50" w:before="180"/>
        <w:ind w:left="1033" w:hangingChars="416" w:hanging="1033"/>
        <w:jc w:val="both"/>
        <w:rPr>
          <w:rFonts w:asciiTheme="minorEastAsia" w:hAnsiTheme="minorEastAsia"/>
          <w:sz w:val="22"/>
        </w:rPr>
      </w:pPr>
      <w:r>
        <w:rPr>
          <w:rFonts w:hint="eastAsia"/>
          <w:b/>
          <w:spacing w:val="14"/>
          <w:sz w:val="22"/>
          <w:u w:color="538135"/>
          <w:lang w:val="zh-TW" w:eastAsia="zh-HK"/>
        </w:rPr>
        <w:t>五</w:t>
      </w:r>
      <w:r w:rsidRPr="00DA7BF1">
        <w:rPr>
          <w:b/>
          <w:spacing w:val="14"/>
          <w:sz w:val="22"/>
          <w:u w:color="538135"/>
          <w:lang w:val="zh-TW"/>
        </w:rPr>
        <w:t>：</w:t>
      </w:r>
      <w:r>
        <w:rPr>
          <w:b/>
          <w:spacing w:val="14"/>
          <w:sz w:val="22"/>
          <w:u w:color="538135"/>
          <w:lang w:val="zh-TW"/>
        </w:rPr>
        <w:tab/>
      </w:r>
      <w:r w:rsidRPr="00DA7BF1">
        <w:rPr>
          <w:rFonts w:asciiTheme="minorEastAsia" w:hAnsiTheme="minorEastAsia" w:hint="eastAsia"/>
          <w:b/>
          <w:sz w:val="22"/>
        </w:rPr>
        <w:t>應加強對私人遊樂場地契約的監察及私人體育會所的企業管治</w:t>
      </w:r>
      <w:proofErr w:type="gramStart"/>
      <w:r w:rsidRPr="00DA7BF1">
        <w:rPr>
          <w:rFonts w:hint="eastAsia"/>
          <w:spacing w:val="14"/>
          <w:sz w:val="22"/>
          <w:u w:color="538135"/>
          <w:lang w:val="zh-TW"/>
        </w:rPr>
        <w:t>──</w:t>
      </w:r>
      <w:proofErr w:type="gramEnd"/>
      <w:r w:rsidRPr="00DA7BF1">
        <w:rPr>
          <w:rFonts w:asciiTheme="minorEastAsia" w:hAnsiTheme="minorEastAsia" w:hint="eastAsia"/>
          <w:sz w:val="22"/>
        </w:rPr>
        <w:t>我們贊成除了透過私人會所提交季度報告外，主動對懷疑違規個案或根據投訴進行突擊抽查，對違規個案發出警告信，並考慮收回嚴重違</w:t>
      </w:r>
      <w:proofErr w:type="gramStart"/>
      <w:r w:rsidRPr="00DA7BF1">
        <w:rPr>
          <w:rFonts w:asciiTheme="minorEastAsia" w:hAnsiTheme="minorEastAsia" w:hint="eastAsia"/>
          <w:sz w:val="22"/>
        </w:rPr>
        <w:t>契或屢</w:t>
      </w:r>
      <w:proofErr w:type="gramEnd"/>
      <w:r w:rsidRPr="00DA7BF1">
        <w:rPr>
          <w:rFonts w:asciiTheme="minorEastAsia" w:hAnsiTheme="minorEastAsia" w:hint="eastAsia"/>
          <w:sz w:val="22"/>
        </w:rPr>
        <w:t>勸不改的私人會所用地。</w:t>
      </w:r>
    </w:p>
    <w:p w:rsidR="00DA7BF1" w:rsidRPr="00DA7BF1" w:rsidRDefault="00DA7BF1" w:rsidP="00431F1C">
      <w:pPr>
        <w:widowControl/>
        <w:spacing w:beforeLines="50" w:before="180"/>
        <w:rPr>
          <w:rFonts w:asciiTheme="minorEastAsia" w:hAnsiTheme="minorEastAsia"/>
          <w:sz w:val="22"/>
        </w:rPr>
      </w:pPr>
      <w:r w:rsidRPr="00DA7BF1">
        <w:rPr>
          <w:rFonts w:asciiTheme="minorEastAsia" w:hAnsiTheme="minorEastAsia" w:hint="eastAsia"/>
          <w:sz w:val="22"/>
        </w:rPr>
        <w:t>現時香港</w:t>
      </w:r>
      <w:r w:rsidRPr="00DA7BF1">
        <w:rPr>
          <w:rFonts w:asciiTheme="minorEastAsia" w:hAnsiTheme="minorEastAsia"/>
          <w:sz w:val="22"/>
        </w:rPr>
        <w:t>土地供應</w:t>
      </w:r>
      <w:r w:rsidRPr="00DA7BF1">
        <w:rPr>
          <w:rFonts w:asciiTheme="minorEastAsia" w:hAnsiTheme="minorEastAsia" w:hint="eastAsia"/>
          <w:sz w:val="22"/>
        </w:rPr>
        <w:t>緊</w:t>
      </w:r>
      <w:r w:rsidRPr="00DA7BF1">
        <w:rPr>
          <w:rFonts w:asciiTheme="minorEastAsia" w:hAnsiTheme="minorEastAsia"/>
          <w:sz w:val="22"/>
        </w:rPr>
        <w:t>張</w:t>
      </w:r>
      <w:r w:rsidRPr="00DA7BF1">
        <w:rPr>
          <w:rFonts w:asciiTheme="minorEastAsia" w:hAnsiTheme="minorEastAsia" w:hint="eastAsia"/>
          <w:sz w:val="22"/>
        </w:rPr>
        <w:t>，要更好地利用私人遊樂場地契約用地，</w:t>
      </w:r>
      <w:r w:rsidRPr="00DA7BF1">
        <w:rPr>
          <w:rFonts w:asciiTheme="minorEastAsia" w:hAnsiTheme="minorEastAsia" w:hint="eastAsia"/>
          <w:sz w:val="22"/>
          <w:lang w:eastAsia="zh-HK"/>
        </w:rPr>
        <w:t>報告</w:t>
      </w:r>
      <w:r w:rsidRPr="00DA7BF1">
        <w:rPr>
          <w:rFonts w:asciiTheme="minorEastAsia" w:hAnsiTheme="minorEastAsia" w:hint="eastAsia"/>
          <w:sz w:val="22"/>
        </w:rPr>
        <w:t>針對不同情況的</w:t>
      </w:r>
      <w:proofErr w:type="gramStart"/>
      <w:r w:rsidRPr="00DA7BF1">
        <w:rPr>
          <w:rFonts w:asciiTheme="minorEastAsia" w:hAnsiTheme="minorEastAsia" w:hint="eastAsia"/>
          <w:sz w:val="22"/>
        </w:rPr>
        <w:t>的</w:t>
      </w:r>
      <w:proofErr w:type="gramEnd"/>
      <w:r w:rsidRPr="00DA7BF1">
        <w:rPr>
          <w:rFonts w:asciiTheme="minorEastAsia" w:hAnsiTheme="minorEastAsia" w:hint="eastAsia"/>
          <w:sz w:val="22"/>
          <w:lang w:eastAsia="zh-HK"/>
        </w:rPr>
        <w:t>私人體育會所分別提出以下建議：</w:t>
      </w:r>
    </w:p>
    <w:p w:rsidR="00DA7BF1" w:rsidRPr="00DA7BF1" w:rsidRDefault="00DA7BF1" w:rsidP="00EF7437">
      <w:pPr>
        <w:spacing w:beforeLines="50" w:before="180"/>
        <w:ind w:left="1033" w:hangingChars="416" w:hanging="1033"/>
        <w:jc w:val="both"/>
        <w:rPr>
          <w:rFonts w:ascii="Times New Roman" w:hAnsi="Times New Roman" w:cs="Times New Roman"/>
          <w:spacing w:val="14"/>
          <w:sz w:val="22"/>
        </w:rPr>
      </w:pPr>
      <w:r w:rsidRPr="00DA7BF1">
        <w:rPr>
          <w:rFonts w:ascii="Times New Roman" w:hAnsi="Times New Roman" w:cs="Times New Roman" w:hint="eastAsia"/>
          <w:b/>
          <w:spacing w:val="14"/>
          <w:sz w:val="22"/>
        </w:rPr>
        <w:t>建議</w:t>
      </w:r>
      <w:proofErr w:type="gramStart"/>
      <w:r w:rsidRPr="00DA7BF1">
        <w:rPr>
          <w:rFonts w:ascii="Times New Roman" w:hAnsi="Times New Roman" w:cs="Times New Roman" w:hint="eastAsia"/>
          <w:b/>
          <w:spacing w:val="14"/>
          <w:sz w:val="22"/>
        </w:rPr>
        <w:t>一</w:t>
      </w:r>
      <w:proofErr w:type="gramEnd"/>
      <w:r w:rsidRPr="00DA7BF1">
        <w:rPr>
          <w:rFonts w:ascii="Times New Roman" w:hAnsi="Times New Roman" w:cs="Times New Roman" w:hint="eastAsia"/>
          <w:b/>
          <w:spacing w:val="14"/>
          <w:sz w:val="22"/>
        </w:rPr>
        <w:t>：</w:t>
      </w:r>
      <w:r w:rsidRPr="00DA7BF1">
        <w:rPr>
          <w:rFonts w:ascii="Times New Roman" w:hAnsi="Times New Roman" w:cs="Times New Roman"/>
          <w:b/>
          <w:spacing w:val="14"/>
          <w:sz w:val="22"/>
        </w:rPr>
        <w:tab/>
      </w:r>
      <w:r w:rsidRPr="00DA7BF1">
        <w:rPr>
          <w:rFonts w:asciiTheme="minorEastAsia" w:hAnsiTheme="minorEastAsia" w:hint="eastAsia"/>
          <w:b/>
          <w:sz w:val="22"/>
        </w:rPr>
        <w:t>修改《契約》用地條款、增加有益公眾的用途</w:t>
      </w:r>
      <w:proofErr w:type="gramStart"/>
      <w:r w:rsidRPr="00DA7BF1">
        <w:rPr>
          <w:rFonts w:ascii="Times New Roman" w:hAnsi="Times New Roman" w:cs="Times New Roman" w:hint="eastAsia"/>
          <w:spacing w:val="14"/>
          <w:sz w:val="22"/>
        </w:rPr>
        <w:t>──</w:t>
      </w:r>
      <w:proofErr w:type="gramEnd"/>
      <w:r w:rsidRPr="00DA7BF1">
        <w:rPr>
          <w:rFonts w:asciiTheme="minorEastAsia" w:hAnsiTheme="minorEastAsia"/>
          <w:sz w:val="22"/>
        </w:rPr>
        <w:t>部份</w:t>
      </w:r>
      <w:r w:rsidRPr="00DA7BF1">
        <w:rPr>
          <w:rFonts w:asciiTheme="minorEastAsia" w:hAnsiTheme="minorEastAsia" w:hint="eastAsia"/>
          <w:sz w:val="22"/>
          <w:lang w:eastAsia="zh-HK"/>
        </w:rPr>
        <w:t>私人體育會所</w:t>
      </w:r>
      <w:r w:rsidRPr="00DA7BF1">
        <w:rPr>
          <w:rFonts w:asciiTheme="minorEastAsia" w:hAnsiTheme="minorEastAsia" w:hint="eastAsia"/>
          <w:sz w:val="22"/>
        </w:rPr>
        <w:t>契</w:t>
      </w:r>
      <w:r w:rsidRPr="00DA7BF1">
        <w:rPr>
          <w:rFonts w:asciiTheme="minorEastAsia" w:hAnsiTheme="minorEastAsia"/>
          <w:sz w:val="22"/>
        </w:rPr>
        <w:t>約用地</w:t>
      </w:r>
      <w:r w:rsidRPr="00DA7BF1">
        <w:rPr>
          <w:rFonts w:asciiTheme="minorEastAsia" w:hAnsiTheme="minorEastAsia" w:hint="eastAsia"/>
          <w:sz w:val="22"/>
        </w:rPr>
        <w:t>對體育發展的貢獻甚微， 應從契約的用地條款著手，使其進一步開放設施，例如長遠而言，作為過渡安</w:t>
      </w:r>
      <w:r w:rsidRPr="00DA7BF1">
        <w:rPr>
          <w:rFonts w:asciiTheme="minorEastAsia" w:hAnsiTheme="minorEastAsia" w:hint="eastAsia"/>
          <w:sz w:val="22"/>
        </w:rPr>
        <w:lastRenderedPageBreak/>
        <w:t>排可要求會所繳交三分之一市值租金</w:t>
      </w:r>
      <w:r w:rsidRPr="00DA7BF1">
        <w:rPr>
          <w:rFonts w:asciiTheme="minorEastAsia" w:hAnsiTheme="minorEastAsia" w:hint="eastAsia"/>
          <w:sz w:val="22"/>
          <w:lang w:eastAsia="zh-HK"/>
        </w:rPr>
        <w:t>、大幅增加公眾使用時間、舉辦活動的次數及種類，以及主動巡查及加強監管，確保會所遵守</w:t>
      </w:r>
      <w:r w:rsidRPr="00DA7BF1">
        <w:rPr>
          <w:rFonts w:asciiTheme="minorEastAsia" w:hAnsiTheme="minorEastAsia" w:hint="eastAsia"/>
          <w:sz w:val="22"/>
        </w:rPr>
        <w:t>契約條款等，避免私人遊樂場地契約政策被濫用。</w:t>
      </w:r>
    </w:p>
    <w:p w:rsidR="00DA7BF1" w:rsidRPr="00DA7BF1" w:rsidRDefault="00DA7BF1" w:rsidP="00EF7437">
      <w:pPr>
        <w:spacing w:beforeLines="50" w:before="180"/>
        <w:ind w:left="1033" w:hangingChars="416" w:hanging="1033"/>
        <w:jc w:val="both"/>
        <w:rPr>
          <w:rFonts w:asciiTheme="minorEastAsia" w:hAnsiTheme="minorEastAsia" w:cs="Times New Roman"/>
          <w:spacing w:val="14"/>
          <w:sz w:val="22"/>
        </w:rPr>
      </w:pPr>
      <w:r w:rsidRPr="00DA7BF1">
        <w:rPr>
          <w:rFonts w:asciiTheme="minorEastAsia" w:hAnsiTheme="minorEastAsia" w:cs="Times New Roman" w:hint="eastAsia"/>
          <w:b/>
          <w:spacing w:val="14"/>
          <w:sz w:val="22"/>
        </w:rPr>
        <w:t>建議二：</w:t>
      </w:r>
      <w:r w:rsidRPr="00DA7BF1">
        <w:rPr>
          <w:rFonts w:asciiTheme="minorEastAsia" w:hAnsiTheme="minorEastAsia" w:cs="Times New Roman"/>
          <w:b/>
          <w:spacing w:val="14"/>
          <w:sz w:val="22"/>
        </w:rPr>
        <w:tab/>
      </w:r>
      <w:r w:rsidRPr="00DA7BF1">
        <w:rPr>
          <w:rFonts w:asciiTheme="minorEastAsia" w:hAnsiTheme="minorEastAsia" w:hint="eastAsia"/>
          <w:b/>
          <w:sz w:val="22"/>
        </w:rPr>
        <w:t>全部收回《契約》用地、改作公共用途</w:t>
      </w:r>
      <w:proofErr w:type="gramStart"/>
      <w:r w:rsidRPr="00DA7BF1">
        <w:rPr>
          <w:rFonts w:asciiTheme="minorEastAsia" w:hAnsiTheme="minorEastAsia" w:cs="Times New Roman" w:hint="eastAsia"/>
          <w:spacing w:val="14"/>
          <w:sz w:val="22"/>
        </w:rPr>
        <w:t>──</w:t>
      </w:r>
      <w:proofErr w:type="gramEnd"/>
      <w:r w:rsidRPr="00DA7BF1">
        <w:rPr>
          <w:rFonts w:asciiTheme="minorEastAsia" w:hAnsiTheme="minorEastAsia" w:hint="eastAsia"/>
          <w:sz w:val="22"/>
        </w:rPr>
        <w:t>如果</w:t>
      </w:r>
      <w:r w:rsidRPr="00DA7BF1">
        <w:rPr>
          <w:rFonts w:asciiTheme="minorEastAsia" w:hAnsiTheme="minorEastAsia"/>
          <w:sz w:val="22"/>
        </w:rPr>
        <w:t>契約用地</w:t>
      </w:r>
      <w:r w:rsidRPr="00DA7BF1">
        <w:rPr>
          <w:rFonts w:asciiTheme="minorEastAsia" w:hAnsiTheme="minorEastAsia" w:hint="eastAsia"/>
          <w:sz w:val="22"/>
        </w:rPr>
        <w:t>失去原有推廣體育發展的作用， 或嚴重違反契約條款 （例如長期用作牟利的商業用途），政府應收回契約用地，作其他公共用途。</w:t>
      </w:r>
    </w:p>
    <w:p w:rsidR="00DA7BF1" w:rsidRPr="00DA7BF1" w:rsidRDefault="00DA7BF1" w:rsidP="00431F1C">
      <w:pPr>
        <w:spacing w:beforeLines="50" w:before="180"/>
        <w:ind w:left="1033" w:hangingChars="416" w:hanging="1033"/>
        <w:jc w:val="both"/>
        <w:rPr>
          <w:spacing w:val="14"/>
          <w:sz w:val="22"/>
          <w:u w:color="538135"/>
          <w:lang w:val="zh-TW"/>
        </w:rPr>
      </w:pPr>
      <w:r w:rsidRPr="00DA7BF1">
        <w:rPr>
          <w:b/>
          <w:spacing w:val="14"/>
          <w:sz w:val="22"/>
          <w:u w:color="538135"/>
          <w:lang w:val="zh-TW"/>
        </w:rPr>
        <w:t>建議</w:t>
      </w:r>
      <w:proofErr w:type="gramStart"/>
      <w:r w:rsidRPr="00DA7BF1">
        <w:rPr>
          <w:b/>
          <w:spacing w:val="14"/>
          <w:sz w:val="22"/>
          <w:u w:color="538135"/>
          <w:lang w:val="zh-TW"/>
        </w:rPr>
        <w:t>三</w:t>
      </w:r>
      <w:proofErr w:type="gramEnd"/>
      <w:r w:rsidRPr="00DA7BF1">
        <w:rPr>
          <w:b/>
          <w:spacing w:val="14"/>
          <w:sz w:val="22"/>
          <w:u w:color="538135"/>
          <w:lang w:val="zh-TW"/>
        </w:rPr>
        <w:t>：</w:t>
      </w:r>
      <w:r w:rsidRPr="00DA7BF1">
        <w:rPr>
          <w:b/>
          <w:spacing w:val="14"/>
          <w:sz w:val="22"/>
          <w:u w:color="538135"/>
          <w:lang w:val="zh-TW"/>
        </w:rPr>
        <w:tab/>
      </w:r>
      <w:r w:rsidRPr="00DA7BF1">
        <w:rPr>
          <w:rFonts w:asciiTheme="minorEastAsia" w:hAnsiTheme="minorEastAsia" w:hint="eastAsia"/>
          <w:b/>
          <w:sz w:val="22"/>
        </w:rPr>
        <w:t>收回粉嶺高爾夫球場部份用地，建設公屋或居屋</w:t>
      </w:r>
      <w:proofErr w:type="gramStart"/>
      <w:r w:rsidRPr="00DA7BF1">
        <w:rPr>
          <w:rFonts w:hint="eastAsia"/>
          <w:spacing w:val="14"/>
          <w:sz w:val="22"/>
          <w:u w:color="538135"/>
          <w:lang w:val="zh-TW"/>
        </w:rPr>
        <w:t>──</w:t>
      </w:r>
      <w:proofErr w:type="gramEnd"/>
      <w:r w:rsidRPr="00DA7BF1">
        <w:rPr>
          <w:rFonts w:asciiTheme="minorEastAsia" w:hAnsiTheme="minorEastAsia" w:hint="eastAsia"/>
          <w:sz w:val="22"/>
        </w:rPr>
        <w:t xml:space="preserve">粉嶺高爾夫球場佔地 </w:t>
      </w:r>
      <w:r w:rsidRPr="00DA7BF1">
        <w:rPr>
          <w:rFonts w:asciiTheme="minorEastAsia" w:hAnsiTheme="minorEastAsia"/>
          <w:sz w:val="22"/>
        </w:rPr>
        <w:t xml:space="preserve">172 </w:t>
      </w:r>
      <w:r w:rsidRPr="00DA7BF1">
        <w:rPr>
          <w:rFonts w:asciiTheme="minorEastAsia" w:hAnsiTheme="minorEastAsia" w:hint="eastAsia"/>
          <w:sz w:val="22"/>
        </w:rPr>
        <w:t>公頃， 政府可以考慮</w:t>
      </w:r>
      <w:r w:rsidRPr="00DA7BF1">
        <w:rPr>
          <w:rFonts w:asciiTheme="minorEastAsia" w:hAnsiTheme="minorEastAsia" w:hint="eastAsia"/>
          <w:sz w:val="22"/>
          <w:lang w:eastAsia="zh-HK"/>
        </w:rPr>
        <w:t>只保留足以興建</w:t>
      </w:r>
      <w:r w:rsidRPr="00DA7BF1">
        <w:rPr>
          <w:rFonts w:asciiTheme="minorEastAsia" w:hAnsiTheme="minorEastAsia"/>
          <w:sz w:val="22"/>
          <w:lang w:eastAsia="zh-HK"/>
        </w:rPr>
        <w:t>1個18洞高爾夫球場</w:t>
      </w:r>
      <w:r w:rsidRPr="00DA7BF1">
        <w:rPr>
          <w:rFonts w:asciiTheme="minorEastAsia" w:hAnsiTheme="minorEastAsia" w:hint="eastAsia"/>
          <w:sz w:val="22"/>
          <w:lang w:eastAsia="zh-HK"/>
        </w:rPr>
        <w:t>的土地</w:t>
      </w:r>
      <w:r w:rsidRPr="00DA7BF1">
        <w:rPr>
          <w:rFonts w:asciiTheme="minorEastAsia" w:hAnsiTheme="minorEastAsia"/>
          <w:sz w:val="22"/>
          <w:lang w:eastAsia="zh-HK"/>
        </w:rPr>
        <w:t>，</w:t>
      </w:r>
      <w:r w:rsidRPr="00DA7BF1">
        <w:rPr>
          <w:rFonts w:asciiTheme="minorEastAsia" w:hAnsiTheme="minorEastAsia" w:hint="eastAsia"/>
          <w:sz w:val="22"/>
          <w:lang w:eastAsia="zh-HK"/>
        </w:rPr>
        <w:t>即約</w:t>
      </w:r>
      <w:r w:rsidRPr="00DA7BF1">
        <w:rPr>
          <w:rFonts w:asciiTheme="minorEastAsia" w:hAnsiTheme="minorEastAsia"/>
          <w:sz w:val="22"/>
          <w:lang w:eastAsia="zh-HK"/>
        </w:rPr>
        <w:t>50</w:t>
      </w:r>
      <w:r w:rsidRPr="00DA7BF1">
        <w:rPr>
          <w:rFonts w:asciiTheme="minorEastAsia" w:hAnsiTheme="minorEastAsia" w:hint="eastAsia"/>
          <w:sz w:val="22"/>
          <w:lang w:eastAsia="zh-HK"/>
        </w:rPr>
        <w:t>至</w:t>
      </w:r>
      <w:r w:rsidRPr="00DA7BF1">
        <w:rPr>
          <w:rFonts w:asciiTheme="minorEastAsia" w:hAnsiTheme="minorEastAsia"/>
          <w:sz w:val="22"/>
          <w:lang w:eastAsia="zh-HK"/>
        </w:rPr>
        <w:t>80</w:t>
      </w:r>
      <w:r w:rsidRPr="00DA7BF1">
        <w:rPr>
          <w:rFonts w:asciiTheme="minorEastAsia" w:hAnsiTheme="minorEastAsia" w:hint="eastAsia"/>
          <w:sz w:val="22"/>
          <w:lang w:eastAsia="zh-HK"/>
        </w:rPr>
        <w:t>公頃</w:t>
      </w:r>
      <w:r w:rsidRPr="00DA7BF1">
        <w:rPr>
          <w:rFonts w:asciiTheme="minorEastAsia" w:hAnsiTheme="minorEastAsia" w:hint="eastAsia"/>
          <w:sz w:val="22"/>
        </w:rPr>
        <w:t>，以便可以繼續舉辦國際賽事，</w:t>
      </w:r>
      <w:r w:rsidRPr="00DA7BF1">
        <w:rPr>
          <w:rFonts w:asciiTheme="minorEastAsia" w:hAnsiTheme="minorEastAsia" w:hint="eastAsia"/>
          <w:sz w:val="22"/>
          <w:lang w:eastAsia="zh-HK"/>
        </w:rPr>
        <w:t>並</w:t>
      </w:r>
      <w:r w:rsidRPr="00DA7BF1">
        <w:rPr>
          <w:rFonts w:asciiTheme="minorEastAsia" w:hAnsiTheme="minorEastAsia" w:hint="eastAsia"/>
          <w:sz w:val="22"/>
        </w:rPr>
        <w:t>收回其餘土地，</w:t>
      </w:r>
      <w:r w:rsidRPr="00DA7BF1">
        <w:rPr>
          <w:rFonts w:asciiTheme="minorEastAsia" w:hAnsiTheme="minorEastAsia" w:hint="eastAsia"/>
          <w:sz w:val="22"/>
          <w:lang w:eastAsia="zh-HK"/>
        </w:rPr>
        <w:t>興</w:t>
      </w:r>
      <w:r w:rsidRPr="00DA7BF1">
        <w:rPr>
          <w:rFonts w:asciiTheme="minorEastAsia" w:hAnsiTheme="minorEastAsia" w:hint="eastAsia"/>
          <w:sz w:val="22"/>
        </w:rPr>
        <w:t>建</w:t>
      </w:r>
      <w:r w:rsidRPr="00DA7BF1">
        <w:rPr>
          <w:rFonts w:asciiTheme="minorEastAsia" w:hAnsiTheme="minorEastAsia" w:hint="eastAsia"/>
          <w:sz w:val="22"/>
          <w:lang w:eastAsia="zh-HK"/>
        </w:rPr>
        <w:t>公</w:t>
      </w:r>
      <w:r w:rsidRPr="00DA7BF1">
        <w:rPr>
          <w:rFonts w:asciiTheme="minorEastAsia" w:hAnsiTheme="minorEastAsia" w:hint="eastAsia"/>
          <w:sz w:val="22"/>
        </w:rPr>
        <w:t>屋</w:t>
      </w:r>
      <w:proofErr w:type="gramStart"/>
      <w:r w:rsidRPr="00DA7BF1">
        <w:rPr>
          <w:rFonts w:asciiTheme="minorEastAsia" w:hAnsiTheme="minorEastAsia" w:hint="eastAsia"/>
          <w:sz w:val="22"/>
        </w:rPr>
        <w:t>或居屋</w:t>
      </w:r>
      <w:proofErr w:type="gramEnd"/>
      <w:r w:rsidRPr="00DA7BF1">
        <w:rPr>
          <w:rFonts w:asciiTheme="minorEastAsia" w:hAnsiTheme="minorEastAsia" w:hint="eastAsia"/>
          <w:sz w:val="22"/>
        </w:rPr>
        <w:t>。政府最低限度應首先採納《發展新界北部地區初步可行性研究》報告提出的32公頃土地局部發展方案，並進而考慮研究上述的100至120公頃土地發展方案的技術可行性。</w:t>
      </w:r>
    </w:p>
    <w:p w:rsidR="003B3621" w:rsidRPr="00DA7BF1" w:rsidRDefault="00DA7BF1" w:rsidP="00EF7437">
      <w:pPr>
        <w:spacing w:beforeLines="50" w:before="180"/>
        <w:jc w:val="both"/>
        <w:rPr>
          <w:rFonts w:asciiTheme="minorEastAsia" w:hAnsiTheme="minorEastAsia" w:cs="Times New Roman"/>
          <w:spacing w:val="14"/>
          <w:sz w:val="22"/>
        </w:rPr>
      </w:pPr>
      <w:bookmarkStart w:id="0" w:name="_GoBack"/>
      <w:r w:rsidRPr="00DA7BF1">
        <w:rPr>
          <w:rFonts w:asciiTheme="minorEastAsia" w:hAnsiTheme="minorEastAsia" w:hint="eastAsia"/>
          <w:sz w:val="22"/>
        </w:rPr>
        <w:t>我們希望透過此報告檢討現行私人遊樂場地契約政策，</w:t>
      </w:r>
      <w:r w:rsidRPr="00DA7BF1">
        <w:rPr>
          <w:rFonts w:asciiTheme="minorEastAsia" w:hAnsiTheme="minorEastAsia"/>
          <w:sz w:val="22"/>
        </w:rPr>
        <w:t xml:space="preserve"> </w:t>
      </w:r>
      <w:r w:rsidRPr="00DA7BF1">
        <w:rPr>
          <w:rFonts w:asciiTheme="minorEastAsia" w:hAnsiTheme="minorEastAsia" w:hint="eastAsia"/>
          <w:sz w:val="22"/>
        </w:rPr>
        <w:t>提議政府修改契約用地條款，促使私人體育會所進一步開放其設施，並考慮收回部份</w:t>
      </w:r>
      <w:r w:rsidRPr="00DA7BF1">
        <w:rPr>
          <w:rFonts w:asciiTheme="minorEastAsia" w:hAnsiTheme="minorEastAsia"/>
          <w:sz w:val="22"/>
        </w:rPr>
        <w:t>契約用地</w:t>
      </w:r>
      <w:r w:rsidRPr="00DA7BF1">
        <w:rPr>
          <w:rFonts w:asciiTheme="minorEastAsia" w:hAnsiTheme="minorEastAsia" w:hint="eastAsia"/>
          <w:sz w:val="22"/>
        </w:rPr>
        <w:t>作其他公共用途，以平衡公眾對推廣體育發展和善用土地資源的雙重需要。</w:t>
      </w:r>
      <w:bookmarkEnd w:id="0"/>
    </w:p>
    <w:p w:rsidR="00C04550" w:rsidRPr="00414FBF" w:rsidRDefault="00C04550" w:rsidP="007A716C">
      <w:pPr>
        <w:spacing w:before="240"/>
        <w:rPr>
          <w:rFonts w:asciiTheme="minorEastAsia" w:hAnsiTheme="minorEastAsia" w:cs="Times New Roman"/>
          <w:spacing w:val="14"/>
          <w:sz w:val="22"/>
        </w:rPr>
      </w:pPr>
      <w:r w:rsidRPr="00414FBF">
        <w:rPr>
          <w:rFonts w:asciiTheme="minorEastAsia" w:hAnsiTheme="minorEastAsia" w:cs="Times New Roman" w:hint="eastAsia"/>
          <w:spacing w:val="14"/>
          <w:sz w:val="22"/>
        </w:rPr>
        <w:t>報告全文可瀏覽</w:t>
      </w:r>
      <w:r w:rsidR="00C23905" w:rsidRPr="00414FBF">
        <w:rPr>
          <w:rFonts w:asciiTheme="minorEastAsia" w:hAnsiTheme="minorEastAsia" w:cs="Times New Roman" w:hint="eastAsia"/>
          <w:spacing w:val="14"/>
          <w:sz w:val="22"/>
        </w:rPr>
        <w:t xml:space="preserve"> </w:t>
      </w:r>
      <w:r w:rsidR="001E6DDF" w:rsidRPr="00414FBF">
        <w:rPr>
          <w:spacing w:val="14"/>
          <w:sz w:val="22"/>
        </w:rPr>
        <w:t>http://www.hkpri.org.hk/research-detail/</w:t>
      </w:r>
      <w:r w:rsidR="00D60263" w:rsidRPr="00D60263">
        <w:t>20181014-PRLs</w:t>
      </w:r>
      <w:r w:rsidR="00594385" w:rsidRPr="00414FBF">
        <w:rPr>
          <w:rFonts w:asciiTheme="minorEastAsia" w:hAnsiTheme="minorEastAsia" w:cs="Times New Roman" w:hint="eastAsia"/>
          <w:spacing w:val="14"/>
          <w:sz w:val="22"/>
        </w:rPr>
        <w:t>，發佈會影片可瀏覽</w:t>
      </w:r>
      <w:hyperlink r:id="rId7" w:history="1">
        <w:r w:rsidR="00E8261C" w:rsidRPr="00414FBF">
          <w:rPr>
            <w:rStyle w:val="aa"/>
            <w:rFonts w:cs="Times New Roman"/>
            <w:spacing w:val="14"/>
            <w:sz w:val="22"/>
            <w:u w:val="none"/>
          </w:rPr>
          <w:t>https://www.facebook.com/hongkongvision/</w:t>
        </w:r>
      </w:hyperlink>
      <w:r w:rsidR="00514822" w:rsidRPr="00414FBF">
        <w:rPr>
          <w:rStyle w:val="aa"/>
          <w:rFonts w:cs="Times New Roman" w:hint="eastAsia"/>
          <w:spacing w:val="14"/>
          <w:sz w:val="22"/>
          <w:u w:val="none"/>
        </w:rPr>
        <w:t>。</w:t>
      </w:r>
    </w:p>
    <w:p w:rsidR="002169E9" w:rsidRPr="00414FBF" w:rsidRDefault="002169E9" w:rsidP="00732B53">
      <w:pPr>
        <w:spacing w:line="276" w:lineRule="auto"/>
        <w:rPr>
          <w:rFonts w:asciiTheme="minorEastAsia" w:hAnsiTheme="minorEastAsia" w:cs="Times New Roman"/>
          <w:spacing w:val="14"/>
          <w:sz w:val="22"/>
        </w:rPr>
      </w:pPr>
    </w:p>
    <w:p w:rsidR="002169E9" w:rsidRPr="00414FBF" w:rsidRDefault="002169E9" w:rsidP="00732B53">
      <w:pPr>
        <w:spacing w:line="276" w:lineRule="auto"/>
        <w:jc w:val="center"/>
        <w:rPr>
          <w:rFonts w:asciiTheme="minorEastAsia" w:hAnsiTheme="minorEastAsia" w:cs="Calibri"/>
          <w:spacing w:val="14"/>
          <w:sz w:val="22"/>
        </w:rPr>
      </w:pPr>
      <w:r w:rsidRPr="00414FBF">
        <w:rPr>
          <w:rFonts w:asciiTheme="minorEastAsia" w:hAnsiTheme="minorEastAsia" w:cs="Times New Roman" w:hint="eastAsia"/>
          <w:spacing w:val="14"/>
          <w:kern w:val="0"/>
          <w:sz w:val="22"/>
          <w:bdr w:val="none" w:sz="0" w:space="0" w:color="auto" w:frame="1"/>
        </w:rPr>
        <w:t>-</w:t>
      </w:r>
      <w:r w:rsidRPr="00414FBF">
        <w:rPr>
          <w:rFonts w:asciiTheme="minorEastAsia" w:hAnsiTheme="minorEastAsia" w:hint="eastAsia"/>
          <w:spacing w:val="14"/>
          <w:sz w:val="22"/>
        </w:rPr>
        <w:t xml:space="preserve"> 完 -</w:t>
      </w:r>
    </w:p>
    <w:p w:rsidR="006E3E94" w:rsidRPr="00414FBF" w:rsidRDefault="006E3E94" w:rsidP="00732B53">
      <w:pPr>
        <w:widowControl/>
        <w:spacing w:line="276" w:lineRule="auto"/>
        <w:rPr>
          <w:rFonts w:asciiTheme="minorEastAsia" w:hAnsiTheme="minorEastAsia"/>
          <w:spacing w:val="14"/>
          <w:sz w:val="22"/>
        </w:rPr>
      </w:pPr>
    </w:p>
    <w:p w:rsidR="002169E9" w:rsidRPr="00431F1C" w:rsidRDefault="002169E9" w:rsidP="00431F1C">
      <w:pPr>
        <w:widowControl/>
        <w:spacing w:beforeLines="50" w:before="180" w:line="276" w:lineRule="auto"/>
        <w:rPr>
          <w:rFonts w:asciiTheme="minorEastAsia" w:hAnsiTheme="minorEastAsia"/>
          <w:b/>
          <w:spacing w:val="14"/>
          <w:sz w:val="22"/>
        </w:rPr>
      </w:pPr>
      <w:r w:rsidRPr="00414FBF">
        <w:rPr>
          <w:rFonts w:asciiTheme="minorEastAsia" w:hAnsiTheme="minorEastAsia" w:hint="eastAsia"/>
          <w:b/>
          <w:color w:val="000000" w:themeColor="text1"/>
          <w:spacing w:val="14"/>
          <w:sz w:val="22"/>
          <w:u w:val="single"/>
        </w:rPr>
        <w:t>香港願景計劃</w:t>
      </w:r>
    </w:p>
    <w:p w:rsidR="00431F1C" w:rsidRDefault="002169E9" w:rsidP="00431F1C">
      <w:pPr>
        <w:pStyle w:val="Web"/>
        <w:spacing w:beforeLines="50" w:before="180" w:beforeAutospacing="0" w:after="0" w:afterAutospacing="0" w:line="276" w:lineRule="auto"/>
        <w:jc w:val="both"/>
        <w:rPr>
          <w:rFonts w:asciiTheme="minorEastAsia" w:eastAsiaTheme="minorEastAsia" w:hAnsiTheme="minorEastAsia"/>
          <w:spacing w:val="14"/>
          <w:sz w:val="22"/>
          <w:szCs w:val="22"/>
        </w:rPr>
      </w:pPr>
      <w:r w:rsidRPr="00414FBF">
        <w:rPr>
          <w:rFonts w:asciiTheme="minorEastAsia" w:eastAsiaTheme="minorEastAsia" w:hAnsiTheme="minorEastAsia" w:hint="eastAsia"/>
          <w:spacing w:val="14"/>
          <w:sz w:val="22"/>
          <w:szCs w:val="22"/>
        </w:rPr>
        <w:t>香港願景計劃由香港政策研究所曾鈺成副主席倡議及作為召集人，是一項於2016年初展開的大型研究計劃。此計劃將集中研究及討論「一國兩制、港人治港」和香港特區所面對的主要問題，並會提出一系列的主張和建議，向社會公佈及倡議，以及提交給下屆行政長官候選人參考。研究過程中會舉</w:t>
      </w:r>
      <w:r w:rsidR="003962C5" w:rsidRPr="00414FBF">
        <w:rPr>
          <w:rFonts w:asciiTheme="minorEastAsia" w:eastAsiaTheme="minorEastAsia" w:hAnsiTheme="minorEastAsia" w:hint="eastAsia"/>
          <w:spacing w:val="14"/>
          <w:sz w:val="22"/>
          <w:szCs w:val="22"/>
        </w:rPr>
        <w:t xml:space="preserve"> </w:t>
      </w:r>
      <w:r w:rsidRPr="00414FBF">
        <w:rPr>
          <w:rFonts w:asciiTheme="minorEastAsia" w:eastAsiaTheme="minorEastAsia" w:hAnsiTheme="minorEastAsia" w:hint="eastAsia"/>
          <w:spacing w:val="14"/>
          <w:sz w:val="22"/>
          <w:szCs w:val="22"/>
        </w:rPr>
        <w:t>辦各種研討活動，廣泛諮詢各界人士和組織的意見，希望能集思廣益，與各方共同探討，為香港前途找出路。</w:t>
      </w:r>
    </w:p>
    <w:p w:rsidR="002169E9" w:rsidRPr="00431F1C" w:rsidRDefault="002169E9" w:rsidP="00431F1C">
      <w:pPr>
        <w:pStyle w:val="Web"/>
        <w:spacing w:beforeLines="50" w:before="180" w:beforeAutospacing="0" w:after="0" w:afterAutospacing="0" w:line="276" w:lineRule="auto"/>
        <w:jc w:val="both"/>
        <w:rPr>
          <w:rFonts w:asciiTheme="minorEastAsia" w:eastAsiaTheme="minorEastAsia" w:hAnsiTheme="minorEastAsia"/>
          <w:spacing w:val="14"/>
          <w:sz w:val="22"/>
          <w:szCs w:val="22"/>
        </w:rPr>
      </w:pPr>
      <w:proofErr w:type="spellStart"/>
      <w:r w:rsidRPr="00414FBF">
        <w:rPr>
          <w:rFonts w:asciiTheme="minorEastAsia" w:hAnsiTheme="minorEastAsia" w:hint="eastAsia"/>
          <w:spacing w:val="14"/>
          <w:sz w:val="22"/>
        </w:rPr>
        <w:t>如有任何疑問，請聯繫</w:t>
      </w:r>
      <w:proofErr w:type="spellEnd"/>
      <w:r w:rsidRPr="00414FBF">
        <w:rPr>
          <w:rFonts w:asciiTheme="minorEastAsia" w:hAnsiTheme="minorEastAsia" w:hint="eastAsia"/>
          <w:spacing w:val="14"/>
          <w:sz w:val="22"/>
        </w:rPr>
        <w:t>：</w:t>
      </w:r>
    </w:p>
    <w:p w:rsidR="002169E9" w:rsidRPr="00414FBF" w:rsidRDefault="002169E9" w:rsidP="00431F1C">
      <w:pPr>
        <w:widowControl/>
        <w:spacing w:beforeLines="50" w:before="180" w:line="276" w:lineRule="auto"/>
        <w:rPr>
          <w:rFonts w:asciiTheme="minorEastAsia" w:hAnsiTheme="minorEastAsia" w:cs="Times New Roman"/>
          <w:spacing w:val="14"/>
          <w:kern w:val="0"/>
          <w:sz w:val="22"/>
          <w:bdr w:val="none" w:sz="0" w:space="0" w:color="auto" w:frame="1"/>
        </w:rPr>
      </w:pPr>
      <w:r w:rsidRPr="00414FBF">
        <w:rPr>
          <w:rFonts w:asciiTheme="minorEastAsia" w:hAnsiTheme="minorEastAsia" w:cs="Times New Roman" w:hint="eastAsia"/>
          <w:spacing w:val="14"/>
          <w:kern w:val="0"/>
          <w:sz w:val="22"/>
          <w:bdr w:val="none" w:sz="0" w:space="0" w:color="auto" w:frame="1"/>
        </w:rPr>
        <w:t>傳訊主任</w:t>
      </w:r>
    </w:p>
    <w:p w:rsidR="002169E9" w:rsidRPr="00414FBF" w:rsidRDefault="0017404F" w:rsidP="00732B53">
      <w:pPr>
        <w:widowControl/>
        <w:spacing w:line="276" w:lineRule="auto"/>
        <w:rPr>
          <w:rFonts w:asciiTheme="minorEastAsia" w:hAnsiTheme="minorEastAsia" w:cs="Times New Roman"/>
          <w:spacing w:val="14"/>
          <w:kern w:val="0"/>
          <w:sz w:val="22"/>
          <w:bdr w:val="none" w:sz="0" w:space="0" w:color="auto" w:frame="1"/>
        </w:rPr>
      </w:pPr>
      <w:r>
        <w:rPr>
          <w:rFonts w:asciiTheme="minorEastAsia" w:hAnsiTheme="minorEastAsia" w:hint="eastAsia"/>
          <w:color w:val="000000" w:themeColor="text1"/>
          <w:spacing w:val="14"/>
          <w:sz w:val="22"/>
          <w:lang w:eastAsia="zh-HK"/>
        </w:rPr>
        <w:t>黃斯</w:t>
      </w:r>
      <w:proofErr w:type="gramStart"/>
      <w:r>
        <w:rPr>
          <w:rFonts w:asciiTheme="minorEastAsia" w:hAnsiTheme="minorEastAsia" w:hint="eastAsia"/>
          <w:color w:val="000000" w:themeColor="text1"/>
          <w:spacing w:val="14"/>
          <w:sz w:val="22"/>
          <w:lang w:eastAsia="zh-HK"/>
        </w:rPr>
        <w:t>恒</w:t>
      </w:r>
      <w:proofErr w:type="gramEnd"/>
      <w:r>
        <w:rPr>
          <w:rFonts w:asciiTheme="minorEastAsia" w:hAnsiTheme="minorEastAsia" w:hint="eastAsia"/>
          <w:color w:val="000000" w:themeColor="text1"/>
          <w:spacing w:val="14"/>
          <w:sz w:val="22"/>
          <w:lang w:eastAsia="zh-HK"/>
        </w:rPr>
        <w:t>先生</w:t>
      </w:r>
    </w:p>
    <w:p w:rsidR="002169E9" w:rsidRPr="00414FBF" w:rsidRDefault="002169E9" w:rsidP="00732B53">
      <w:pPr>
        <w:spacing w:after="160" w:line="276" w:lineRule="auto"/>
        <w:rPr>
          <w:rFonts w:asciiTheme="minorEastAsia" w:hAnsiTheme="minorEastAsia" w:cs="Times New Roman"/>
          <w:color w:val="000000" w:themeColor="text1"/>
          <w:spacing w:val="14"/>
          <w:sz w:val="22"/>
        </w:rPr>
      </w:pPr>
      <w:r w:rsidRPr="00414FBF">
        <w:rPr>
          <w:rFonts w:asciiTheme="minorEastAsia" w:hAnsiTheme="minorEastAsia" w:hint="eastAsia"/>
          <w:spacing w:val="14"/>
          <w:sz w:val="22"/>
        </w:rPr>
        <w:t xml:space="preserve">電話: </w:t>
      </w:r>
      <w:r w:rsidRPr="00414FBF">
        <w:rPr>
          <w:rFonts w:asciiTheme="minorEastAsia" w:hAnsiTheme="minorEastAsia" w:cs="Times New Roman" w:hint="eastAsia"/>
          <w:color w:val="000000" w:themeColor="text1"/>
          <w:spacing w:val="14"/>
          <w:sz w:val="22"/>
          <w:lang w:eastAsia="zh-HK"/>
        </w:rPr>
        <w:t>392</w:t>
      </w:r>
      <w:r w:rsidRPr="00414FBF">
        <w:rPr>
          <w:rFonts w:asciiTheme="minorEastAsia" w:hAnsiTheme="minorEastAsia" w:cs="Times New Roman" w:hint="eastAsia"/>
          <w:color w:val="000000" w:themeColor="text1"/>
          <w:spacing w:val="14"/>
          <w:sz w:val="22"/>
        </w:rPr>
        <w:t>0 06</w:t>
      </w:r>
      <w:r w:rsidR="0017404F">
        <w:rPr>
          <w:rFonts w:asciiTheme="minorEastAsia" w:hAnsiTheme="minorEastAsia" w:cs="Times New Roman" w:hint="eastAsia"/>
          <w:color w:val="000000" w:themeColor="text1"/>
          <w:spacing w:val="14"/>
          <w:sz w:val="22"/>
        </w:rPr>
        <w:t>13</w:t>
      </w:r>
      <w:r w:rsidRPr="00414FBF">
        <w:rPr>
          <w:rFonts w:asciiTheme="minorEastAsia" w:hAnsiTheme="minorEastAsia" w:cs="Times New Roman" w:hint="eastAsia"/>
          <w:color w:val="000000" w:themeColor="text1"/>
          <w:spacing w:val="14"/>
          <w:sz w:val="22"/>
        </w:rPr>
        <w:t xml:space="preserve"> </w:t>
      </w:r>
      <w:r w:rsidRPr="00414FBF">
        <w:rPr>
          <w:rFonts w:asciiTheme="minorEastAsia" w:hAnsiTheme="minorEastAsia" w:hint="eastAsia"/>
          <w:spacing w:val="14"/>
          <w:sz w:val="22"/>
        </w:rPr>
        <w:br/>
        <w:t xml:space="preserve">電郵: </w:t>
      </w:r>
      <w:hyperlink r:id="rId8" w:history="1">
        <w:r w:rsidRPr="00414FBF">
          <w:rPr>
            <w:rStyle w:val="aa"/>
            <w:rFonts w:asciiTheme="minorEastAsia" w:hAnsiTheme="minorEastAsia" w:cs="Times New Roman" w:hint="eastAsia"/>
            <w:spacing w:val="14"/>
            <w:sz w:val="22"/>
          </w:rPr>
          <w:t>info@hongkongvision.org.hk</w:t>
        </w:r>
      </w:hyperlink>
      <w:r w:rsidRPr="00414FBF">
        <w:rPr>
          <w:rFonts w:asciiTheme="minorEastAsia" w:hAnsiTheme="minorEastAsia" w:cs="Times New Roman" w:hint="eastAsia"/>
          <w:spacing w:val="14"/>
          <w:sz w:val="22"/>
        </w:rPr>
        <w:tab/>
      </w:r>
    </w:p>
    <w:p w:rsidR="005723CD" w:rsidRPr="00414FBF" w:rsidRDefault="005723CD" w:rsidP="00732B53">
      <w:pPr>
        <w:spacing w:line="276" w:lineRule="auto"/>
        <w:rPr>
          <w:spacing w:val="14"/>
          <w:sz w:val="22"/>
        </w:rPr>
      </w:pPr>
    </w:p>
    <w:sectPr w:rsidR="005723CD" w:rsidRPr="00414FBF" w:rsidSect="007F30A5">
      <w:headerReference w:type="default" r:id="rId9"/>
      <w:pgSz w:w="11906" w:h="16838"/>
      <w:pgMar w:top="2127" w:right="849" w:bottom="851" w:left="1134" w:header="709" w:footer="43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6F5" w:rsidRDefault="007176F5" w:rsidP="007176F5">
      <w:r>
        <w:separator/>
      </w:r>
    </w:p>
  </w:endnote>
  <w:endnote w:type="continuationSeparator" w:id="0">
    <w:p w:rsidR="007176F5" w:rsidRDefault="007176F5" w:rsidP="0071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6F5" w:rsidRDefault="007176F5" w:rsidP="007176F5">
      <w:r>
        <w:separator/>
      </w:r>
    </w:p>
  </w:footnote>
  <w:footnote w:type="continuationSeparator" w:id="0">
    <w:p w:rsidR="007176F5" w:rsidRDefault="007176F5" w:rsidP="00717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6F5" w:rsidRDefault="005F0B69">
    <w:pPr>
      <w:pStyle w:val="a3"/>
    </w:pPr>
    <w:r>
      <w:rPr>
        <w:noProof/>
      </w:rPr>
      <w:drawing>
        <wp:anchor distT="0" distB="0" distL="114300" distR="114300" simplePos="0" relativeHeight="251659264" behindDoc="1" locked="0" layoutInCell="1" allowOverlap="1">
          <wp:simplePos x="0" y="0"/>
          <wp:positionH relativeFrom="column">
            <wp:posOffset>151130</wp:posOffset>
          </wp:positionH>
          <wp:positionV relativeFrom="paragraph">
            <wp:posOffset>-135890</wp:posOffset>
          </wp:positionV>
          <wp:extent cx="6019800" cy="1013751"/>
          <wp:effectExtent l="0" t="0" r="0" b="0"/>
          <wp:wrapNone/>
          <wp:docPr id="1" name="圖片 1" descr="G:\Manhattan\letterhead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nhattan\letterhead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10137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-880110</wp:posOffset>
          </wp:positionH>
          <wp:positionV relativeFrom="paragraph">
            <wp:posOffset>4796155</wp:posOffset>
          </wp:positionV>
          <wp:extent cx="7848367" cy="5699125"/>
          <wp:effectExtent l="0" t="0" r="0" b="0"/>
          <wp:wrapNone/>
          <wp:docPr id="2" name="圖片 2" descr="G:\Manhattan\letterhead_foo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Manhattan\letterhead_foot-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48367" cy="569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C2EA1"/>
    <w:multiLevelType w:val="hybridMultilevel"/>
    <w:tmpl w:val="3A52BB86"/>
    <w:lvl w:ilvl="0" w:tplc="96D8644A">
      <w:start w:val="1"/>
      <w:numFmt w:val="decimal"/>
      <w:lvlText w:val="(%1)"/>
      <w:lvlJc w:val="left"/>
      <w:pPr>
        <w:ind w:left="405" w:hanging="405"/>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62CF5DB2"/>
    <w:multiLevelType w:val="hybridMultilevel"/>
    <w:tmpl w:val="2C3A0E42"/>
    <w:lvl w:ilvl="0" w:tplc="32C4084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F5"/>
    <w:rsid w:val="0002677D"/>
    <w:rsid w:val="00092AE6"/>
    <w:rsid w:val="00093F34"/>
    <w:rsid w:val="00111139"/>
    <w:rsid w:val="00121894"/>
    <w:rsid w:val="00121BE6"/>
    <w:rsid w:val="00164EA7"/>
    <w:rsid w:val="0017404F"/>
    <w:rsid w:val="00184415"/>
    <w:rsid w:val="001851EF"/>
    <w:rsid w:val="001A0B0B"/>
    <w:rsid w:val="001B5930"/>
    <w:rsid w:val="001C44B3"/>
    <w:rsid w:val="001E6DDF"/>
    <w:rsid w:val="002169E9"/>
    <w:rsid w:val="0025227A"/>
    <w:rsid w:val="002707EF"/>
    <w:rsid w:val="0028027B"/>
    <w:rsid w:val="002C528B"/>
    <w:rsid w:val="002D2375"/>
    <w:rsid w:val="0034728E"/>
    <w:rsid w:val="003962C5"/>
    <w:rsid w:val="003B3621"/>
    <w:rsid w:val="00414FBF"/>
    <w:rsid w:val="00431F1C"/>
    <w:rsid w:val="00462B76"/>
    <w:rsid w:val="00510286"/>
    <w:rsid w:val="00514822"/>
    <w:rsid w:val="005723CD"/>
    <w:rsid w:val="00594385"/>
    <w:rsid w:val="005C68F1"/>
    <w:rsid w:val="005F0B69"/>
    <w:rsid w:val="005F3979"/>
    <w:rsid w:val="0060721F"/>
    <w:rsid w:val="006840D2"/>
    <w:rsid w:val="006865E9"/>
    <w:rsid w:val="00694E0F"/>
    <w:rsid w:val="006C3005"/>
    <w:rsid w:val="006C3052"/>
    <w:rsid w:val="006D5E59"/>
    <w:rsid w:val="006E3E94"/>
    <w:rsid w:val="007065FE"/>
    <w:rsid w:val="007176F5"/>
    <w:rsid w:val="00732B53"/>
    <w:rsid w:val="007A716C"/>
    <w:rsid w:val="007F30A5"/>
    <w:rsid w:val="007F6C50"/>
    <w:rsid w:val="00804CAC"/>
    <w:rsid w:val="00842349"/>
    <w:rsid w:val="00852420"/>
    <w:rsid w:val="00863EB0"/>
    <w:rsid w:val="00875CA5"/>
    <w:rsid w:val="008A22BE"/>
    <w:rsid w:val="008B21E7"/>
    <w:rsid w:val="008B52D8"/>
    <w:rsid w:val="008B75E6"/>
    <w:rsid w:val="008D09A9"/>
    <w:rsid w:val="00901D4E"/>
    <w:rsid w:val="00906356"/>
    <w:rsid w:val="00913565"/>
    <w:rsid w:val="0096169D"/>
    <w:rsid w:val="009D1542"/>
    <w:rsid w:val="009F05FC"/>
    <w:rsid w:val="00A276F2"/>
    <w:rsid w:val="00A4501D"/>
    <w:rsid w:val="00A462E2"/>
    <w:rsid w:val="00B0225A"/>
    <w:rsid w:val="00B07119"/>
    <w:rsid w:val="00B204AF"/>
    <w:rsid w:val="00BC771D"/>
    <w:rsid w:val="00C04550"/>
    <w:rsid w:val="00C23905"/>
    <w:rsid w:val="00C65920"/>
    <w:rsid w:val="00C912AE"/>
    <w:rsid w:val="00CC146E"/>
    <w:rsid w:val="00CF1652"/>
    <w:rsid w:val="00CF1EA5"/>
    <w:rsid w:val="00D0492B"/>
    <w:rsid w:val="00D10980"/>
    <w:rsid w:val="00D349A0"/>
    <w:rsid w:val="00D60263"/>
    <w:rsid w:val="00DA7BF1"/>
    <w:rsid w:val="00DC50EC"/>
    <w:rsid w:val="00DD5BBA"/>
    <w:rsid w:val="00E130CD"/>
    <w:rsid w:val="00E74A60"/>
    <w:rsid w:val="00E8261C"/>
    <w:rsid w:val="00EF7437"/>
    <w:rsid w:val="00F76197"/>
    <w:rsid w:val="00F82711"/>
    <w:rsid w:val="00FB258C"/>
    <w:rsid w:val="00FD2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625821A2-9D52-4F69-95B1-596CE822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6F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6F5"/>
    <w:pPr>
      <w:tabs>
        <w:tab w:val="center" w:pos="4153"/>
        <w:tab w:val="right" w:pos="8306"/>
      </w:tabs>
      <w:snapToGrid w:val="0"/>
    </w:pPr>
    <w:rPr>
      <w:sz w:val="20"/>
      <w:szCs w:val="20"/>
    </w:rPr>
  </w:style>
  <w:style w:type="character" w:customStyle="1" w:styleId="a4">
    <w:name w:val="頁首 字元"/>
    <w:basedOn w:val="a0"/>
    <w:link w:val="a3"/>
    <w:uiPriority w:val="99"/>
    <w:rsid w:val="007176F5"/>
    <w:rPr>
      <w:sz w:val="20"/>
      <w:szCs w:val="20"/>
    </w:rPr>
  </w:style>
  <w:style w:type="paragraph" w:styleId="a5">
    <w:name w:val="footer"/>
    <w:basedOn w:val="a"/>
    <w:link w:val="a6"/>
    <w:uiPriority w:val="99"/>
    <w:unhideWhenUsed/>
    <w:rsid w:val="007176F5"/>
    <w:pPr>
      <w:tabs>
        <w:tab w:val="center" w:pos="4153"/>
        <w:tab w:val="right" w:pos="8306"/>
      </w:tabs>
      <w:snapToGrid w:val="0"/>
    </w:pPr>
    <w:rPr>
      <w:sz w:val="20"/>
      <w:szCs w:val="20"/>
    </w:rPr>
  </w:style>
  <w:style w:type="character" w:customStyle="1" w:styleId="a6">
    <w:name w:val="頁尾 字元"/>
    <w:basedOn w:val="a0"/>
    <w:link w:val="a5"/>
    <w:uiPriority w:val="99"/>
    <w:rsid w:val="007176F5"/>
    <w:rPr>
      <w:sz w:val="20"/>
      <w:szCs w:val="20"/>
    </w:rPr>
  </w:style>
  <w:style w:type="paragraph" w:styleId="a7">
    <w:name w:val="Balloon Text"/>
    <w:basedOn w:val="a"/>
    <w:link w:val="a8"/>
    <w:uiPriority w:val="99"/>
    <w:semiHidden/>
    <w:unhideWhenUsed/>
    <w:rsid w:val="008B21E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B21E7"/>
    <w:rPr>
      <w:rFonts w:asciiTheme="majorHAnsi" w:eastAsiaTheme="majorEastAsia" w:hAnsiTheme="majorHAnsi" w:cstheme="majorBidi"/>
      <w:sz w:val="18"/>
      <w:szCs w:val="18"/>
    </w:rPr>
  </w:style>
  <w:style w:type="paragraph" w:styleId="a9">
    <w:name w:val="List Paragraph"/>
    <w:basedOn w:val="a"/>
    <w:uiPriority w:val="34"/>
    <w:qFormat/>
    <w:rsid w:val="005723CD"/>
    <w:pPr>
      <w:ind w:leftChars="200" w:left="480"/>
    </w:pPr>
  </w:style>
  <w:style w:type="character" w:styleId="aa">
    <w:name w:val="Hyperlink"/>
    <w:unhideWhenUsed/>
    <w:rsid w:val="00804CAC"/>
    <w:rPr>
      <w:u w:val="single"/>
    </w:rPr>
  </w:style>
  <w:style w:type="paragraph" w:styleId="Web">
    <w:name w:val="Normal (Web)"/>
    <w:basedOn w:val="a"/>
    <w:uiPriority w:val="99"/>
    <w:unhideWhenUsed/>
    <w:rsid w:val="00804CAC"/>
    <w:pPr>
      <w:widowControl/>
      <w:spacing w:before="100" w:beforeAutospacing="1" w:after="100" w:afterAutospacing="1"/>
    </w:pPr>
    <w:rPr>
      <w:rFonts w:ascii="Times New Roman" w:eastAsia="Times New Roman" w:hAnsi="Times New Roman" w:cs="Times New Roman"/>
      <w:kern w:val="0"/>
      <w:szCs w:val="24"/>
      <w:u w:color="000000"/>
    </w:rPr>
  </w:style>
  <w:style w:type="character" w:customStyle="1" w:styleId="UnresolvedMention">
    <w:name w:val="Unresolved Mention"/>
    <w:basedOn w:val="a0"/>
    <w:uiPriority w:val="99"/>
    <w:semiHidden/>
    <w:unhideWhenUsed/>
    <w:rsid w:val="00C23905"/>
    <w:rPr>
      <w:color w:val="808080"/>
      <w:shd w:val="clear" w:color="auto" w:fill="E6E6E6"/>
    </w:rPr>
  </w:style>
  <w:style w:type="paragraph" w:styleId="ab">
    <w:name w:val="footnote text"/>
    <w:basedOn w:val="a"/>
    <w:link w:val="ac"/>
    <w:unhideWhenUsed/>
    <w:rsid w:val="006865E9"/>
    <w:pPr>
      <w:snapToGrid w:val="0"/>
    </w:pPr>
    <w:rPr>
      <w:sz w:val="20"/>
      <w:szCs w:val="20"/>
    </w:rPr>
  </w:style>
  <w:style w:type="character" w:customStyle="1" w:styleId="ac">
    <w:name w:val="註腳文字 字元"/>
    <w:basedOn w:val="a0"/>
    <w:link w:val="ab"/>
    <w:rsid w:val="006865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82872">
      <w:bodyDiv w:val="1"/>
      <w:marLeft w:val="0"/>
      <w:marRight w:val="0"/>
      <w:marTop w:val="0"/>
      <w:marBottom w:val="0"/>
      <w:divBdr>
        <w:top w:val="none" w:sz="0" w:space="0" w:color="auto"/>
        <w:left w:val="none" w:sz="0" w:space="0" w:color="auto"/>
        <w:bottom w:val="none" w:sz="0" w:space="0" w:color="auto"/>
        <w:right w:val="none" w:sz="0" w:space="0" w:color="auto"/>
      </w:divBdr>
    </w:div>
    <w:div w:id="1505393470">
      <w:bodyDiv w:val="1"/>
      <w:marLeft w:val="0"/>
      <w:marRight w:val="0"/>
      <w:marTop w:val="0"/>
      <w:marBottom w:val="0"/>
      <w:divBdr>
        <w:top w:val="none" w:sz="0" w:space="0" w:color="auto"/>
        <w:left w:val="none" w:sz="0" w:space="0" w:color="auto"/>
        <w:bottom w:val="none" w:sz="0" w:space="0" w:color="auto"/>
        <w:right w:val="none" w:sz="0" w:space="0" w:color="auto"/>
      </w:divBdr>
    </w:div>
    <w:div w:id="1556966229">
      <w:bodyDiv w:val="1"/>
      <w:marLeft w:val="0"/>
      <w:marRight w:val="0"/>
      <w:marTop w:val="0"/>
      <w:marBottom w:val="0"/>
      <w:divBdr>
        <w:top w:val="none" w:sz="0" w:space="0" w:color="auto"/>
        <w:left w:val="none" w:sz="0" w:space="0" w:color="auto"/>
        <w:bottom w:val="none" w:sz="0" w:space="0" w:color="auto"/>
        <w:right w:val="none" w:sz="0" w:space="0" w:color="auto"/>
      </w:divBdr>
      <w:divsChild>
        <w:div w:id="163887553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11586812">
              <w:marLeft w:val="0"/>
              <w:marRight w:val="0"/>
              <w:marTop w:val="0"/>
              <w:marBottom w:val="0"/>
              <w:divBdr>
                <w:top w:val="none" w:sz="0" w:space="0" w:color="auto"/>
                <w:left w:val="none" w:sz="0" w:space="0" w:color="auto"/>
                <w:bottom w:val="none" w:sz="0" w:space="0" w:color="auto"/>
                <w:right w:val="none" w:sz="0" w:space="0" w:color="auto"/>
              </w:divBdr>
            </w:div>
          </w:divsChild>
        </w:div>
        <w:div w:id="1206797770">
          <w:marLeft w:val="0"/>
          <w:marRight w:val="0"/>
          <w:marTop w:val="0"/>
          <w:marBottom w:val="0"/>
          <w:divBdr>
            <w:top w:val="none" w:sz="0" w:space="0" w:color="auto"/>
            <w:left w:val="none" w:sz="0" w:space="0" w:color="auto"/>
            <w:bottom w:val="none" w:sz="0" w:space="0" w:color="auto"/>
            <w:right w:val="none" w:sz="0" w:space="0" w:color="auto"/>
          </w:divBdr>
        </w:div>
        <w:div w:id="2019572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ngkongvision.org.hk" TargetMode="External"/><Relationship Id="rId3" Type="http://schemas.openxmlformats.org/officeDocument/2006/relationships/settings" Target="settings.xml"/><Relationship Id="rId7" Type="http://schemas.openxmlformats.org/officeDocument/2006/relationships/hyperlink" Target="https://www.facebook.com/hongkong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1588</TotalTime>
  <Pages>2</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Lo</dc:creator>
  <cp:keywords/>
  <dc:description/>
  <cp:lastModifiedBy>CH PC</cp:lastModifiedBy>
  <cp:revision>25</cp:revision>
  <cp:lastPrinted>2018-10-14T04:36:00Z</cp:lastPrinted>
  <dcterms:created xsi:type="dcterms:W3CDTF">2018-08-15T04:59:00Z</dcterms:created>
  <dcterms:modified xsi:type="dcterms:W3CDTF">2018-10-14T05:07:00Z</dcterms:modified>
</cp:coreProperties>
</file>